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A9D2" w14:textId="77777777"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09CBB9D4" w14:textId="77777777"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67A4BA01" w14:textId="77777777"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358096D9" w14:textId="77777777"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2127DE8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19160E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140233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492C007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CDDB35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03618E7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66618F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5D91E77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572876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5C27CB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13899E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375300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1C1233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9719DB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6BB9AE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63205E0" w14:textId="77777777"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78185589" w14:textId="77777777"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58967004" w14:textId="77777777" w:rsidR="004B2C94" w:rsidRPr="004B2C94" w:rsidRDefault="004B2C94" w:rsidP="00EC45CD">
      <w:pPr>
        <w:jc w:val="center"/>
        <w:rPr>
          <w:sz w:val="28"/>
        </w:rPr>
      </w:pPr>
    </w:p>
    <w:p w14:paraId="1E541E0D" w14:textId="49248698" w:rsidR="00D06F77" w:rsidRPr="00E35D7A" w:rsidRDefault="00FB7E25" w:rsidP="00EC45CD">
      <w:pPr>
        <w:jc w:val="center"/>
        <w:rPr>
          <w:sz w:val="28"/>
        </w:rPr>
      </w:pPr>
      <w:r>
        <w:rPr>
          <w:sz w:val="28"/>
        </w:rPr>
        <w:t>СОЦИАЛЬНО-ГИГИЕНИЧЕСКИЙ МОНИТОРИНГ</w:t>
      </w:r>
    </w:p>
    <w:p w14:paraId="1C118EF9" w14:textId="77777777" w:rsidR="00D06F77" w:rsidRPr="00CF7355" w:rsidRDefault="00D06F77" w:rsidP="00D06F77">
      <w:pPr>
        <w:jc w:val="center"/>
        <w:rPr>
          <w:sz w:val="28"/>
        </w:rPr>
      </w:pPr>
    </w:p>
    <w:p w14:paraId="68A6AD69" w14:textId="77777777" w:rsidR="00D06F77" w:rsidRPr="00CF7355" w:rsidRDefault="00D06F77" w:rsidP="00D06F77">
      <w:pPr>
        <w:jc w:val="center"/>
        <w:rPr>
          <w:sz w:val="28"/>
        </w:rPr>
      </w:pPr>
    </w:p>
    <w:p w14:paraId="5D5795DF" w14:textId="77777777"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14:paraId="041D681A" w14:textId="77777777" w:rsidR="00E35D7A" w:rsidRPr="009373F6" w:rsidRDefault="00E35D7A" w:rsidP="00D91C2F">
      <w:pPr>
        <w:jc w:val="center"/>
        <w:rPr>
          <w:sz w:val="28"/>
          <w:szCs w:val="28"/>
        </w:rPr>
      </w:pPr>
    </w:p>
    <w:p w14:paraId="772F69FC" w14:textId="77777777" w:rsidR="00D91C2F" w:rsidRPr="009373F6" w:rsidRDefault="00D91C2F" w:rsidP="00D91C2F">
      <w:pPr>
        <w:jc w:val="center"/>
        <w:rPr>
          <w:sz w:val="28"/>
          <w:szCs w:val="28"/>
        </w:rPr>
      </w:pPr>
    </w:p>
    <w:p w14:paraId="7101DFC1" w14:textId="77777777" w:rsidR="00D91C2F" w:rsidRPr="009373F6" w:rsidRDefault="00CC3961" w:rsidP="00D91C2F">
      <w:pPr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32.08.11 Социальная гигиена и организация госсанэпидслужбы</w:t>
      </w:r>
    </w:p>
    <w:p w14:paraId="6FF1EF03" w14:textId="77777777" w:rsidR="00D91C2F" w:rsidRPr="009373F6" w:rsidRDefault="00D91C2F" w:rsidP="00D91C2F">
      <w:pPr>
        <w:jc w:val="center"/>
        <w:rPr>
          <w:sz w:val="28"/>
          <w:szCs w:val="28"/>
        </w:rPr>
      </w:pPr>
    </w:p>
    <w:p w14:paraId="2F6B48B1" w14:textId="77777777" w:rsidR="00D91C2F" w:rsidRPr="009373F6" w:rsidRDefault="00D91C2F" w:rsidP="00D91C2F">
      <w:pPr>
        <w:jc w:val="center"/>
        <w:rPr>
          <w:sz w:val="28"/>
          <w:szCs w:val="28"/>
        </w:rPr>
      </w:pPr>
    </w:p>
    <w:p w14:paraId="41D078DB" w14:textId="77777777" w:rsidR="00D91C2F" w:rsidRPr="009373F6" w:rsidRDefault="00D91C2F" w:rsidP="00D91C2F">
      <w:pPr>
        <w:jc w:val="center"/>
        <w:rPr>
          <w:sz w:val="28"/>
          <w:szCs w:val="28"/>
        </w:rPr>
      </w:pPr>
    </w:p>
    <w:p w14:paraId="75B93921" w14:textId="77777777" w:rsidR="00D91C2F" w:rsidRPr="009373F6" w:rsidRDefault="00D91C2F" w:rsidP="00D91C2F">
      <w:pPr>
        <w:jc w:val="center"/>
        <w:rPr>
          <w:sz w:val="28"/>
          <w:szCs w:val="28"/>
        </w:rPr>
      </w:pPr>
    </w:p>
    <w:p w14:paraId="5DD1A371" w14:textId="77777777" w:rsidR="00D91C2F" w:rsidRPr="009373F6" w:rsidRDefault="00D91C2F" w:rsidP="00D91C2F">
      <w:pPr>
        <w:jc w:val="center"/>
        <w:rPr>
          <w:sz w:val="28"/>
          <w:szCs w:val="28"/>
        </w:rPr>
      </w:pPr>
    </w:p>
    <w:p w14:paraId="4E781B03" w14:textId="77777777" w:rsidR="00D91C2F" w:rsidRPr="009373F6" w:rsidRDefault="00D91C2F" w:rsidP="00D91C2F">
      <w:pPr>
        <w:jc w:val="center"/>
        <w:rPr>
          <w:sz w:val="28"/>
          <w:szCs w:val="28"/>
        </w:rPr>
      </w:pPr>
    </w:p>
    <w:p w14:paraId="70B130AE" w14:textId="77777777" w:rsidR="00D91C2F" w:rsidRPr="009373F6" w:rsidRDefault="00D91C2F" w:rsidP="00D91C2F">
      <w:pPr>
        <w:jc w:val="center"/>
        <w:rPr>
          <w:sz w:val="28"/>
          <w:szCs w:val="28"/>
        </w:rPr>
      </w:pPr>
    </w:p>
    <w:p w14:paraId="58A5874F" w14:textId="77777777"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C3961" w:rsidRPr="00CC3961">
        <w:rPr>
          <w:i/>
          <w:color w:val="000000"/>
          <w:sz w:val="24"/>
          <w:szCs w:val="28"/>
        </w:rPr>
        <w:t xml:space="preserve">32.08.11 </w:t>
      </w:r>
      <w:r w:rsidR="00CC3961">
        <w:rPr>
          <w:i/>
          <w:color w:val="000000"/>
          <w:sz w:val="24"/>
          <w:szCs w:val="28"/>
        </w:rPr>
        <w:t>С</w:t>
      </w:r>
      <w:r w:rsidR="00CC3961" w:rsidRPr="00CC3961">
        <w:rPr>
          <w:i/>
          <w:color w:val="000000"/>
          <w:sz w:val="24"/>
          <w:szCs w:val="28"/>
        </w:rPr>
        <w:t>оциальная гигиена и организация госсанэпидслужбы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14:paraId="6144C487" w14:textId="77777777" w:rsidR="00D91C2F" w:rsidRPr="009373F6" w:rsidRDefault="00D91C2F" w:rsidP="00D91C2F">
      <w:pPr>
        <w:jc w:val="both"/>
        <w:rPr>
          <w:color w:val="000000"/>
          <w:sz w:val="28"/>
          <w:szCs w:val="28"/>
        </w:rPr>
      </w:pPr>
    </w:p>
    <w:p w14:paraId="26345F4A" w14:textId="77777777" w:rsidR="00D91C2F" w:rsidRPr="009373F6" w:rsidRDefault="00D91C2F" w:rsidP="00D91C2F">
      <w:pPr>
        <w:jc w:val="center"/>
        <w:rPr>
          <w:color w:val="000000"/>
          <w:sz w:val="28"/>
          <w:szCs w:val="28"/>
        </w:rPr>
      </w:pPr>
      <w:r w:rsidRPr="009373F6">
        <w:rPr>
          <w:color w:val="000000"/>
          <w:sz w:val="28"/>
          <w:szCs w:val="28"/>
        </w:rPr>
        <w:t xml:space="preserve">протокол № </w:t>
      </w:r>
      <w:r w:rsidR="00CC3961">
        <w:rPr>
          <w:color w:val="000000"/>
          <w:sz w:val="28"/>
          <w:szCs w:val="28"/>
        </w:rPr>
        <w:t>11</w:t>
      </w:r>
      <w:r w:rsidRPr="009373F6">
        <w:rPr>
          <w:color w:val="000000"/>
          <w:sz w:val="28"/>
          <w:szCs w:val="28"/>
        </w:rPr>
        <w:t xml:space="preserve"> от </w:t>
      </w:r>
      <w:r w:rsidR="00CC3961">
        <w:rPr>
          <w:color w:val="000000"/>
          <w:sz w:val="28"/>
          <w:szCs w:val="28"/>
        </w:rPr>
        <w:t>2</w:t>
      </w:r>
      <w:r w:rsidR="00DE20D2">
        <w:rPr>
          <w:color w:val="000000"/>
          <w:sz w:val="28"/>
          <w:szCs w:val="28"/>
        </w:rPr>
        <w:t xml:space="preserve">2 </w:t>
      </w:r>
      <w:r w:rsidR="00CC3961">
        <w:rPr>
          <w:color w:val="000000"/>
          <w:sz w:val="28"/>
          <w:szCs w:val="28"/>
        </w:rPr>
        <w:t>июня</w:t>
      </w:r>
      <w:r w:rsidRPr="009373F6">
        <w:rPr>
          <w:color w:val="000000"/>
          <w:sz w:val="28"/>
          <w:szCs w:val="28"/>
        </w:rPr>
        <w:t xml:space="preserve"> 20</w:t>
      </w:r>
      <w:r w:rsidR="00DE20D2">
        <w:rPr>
          <w:color w:val="000000"/>
          <w:sz w:val="28"/>
          <w:szCs w:val="28"/>
        </w:rPr>
        <w:t>18</w:t>
      </w:r>
      <w:r w:rsidRPr="009373F6">
        <w:rPr>
          <w:color w:val="000000"/>
          <w:sz w:val="28"/>
          <w:szCs w:val="28"/>
        </w:rPr>
        <w:t xml:space="preserve"> г.</w:t>
      </w:r>
    </w:p>
    <w:p w14:paraId="4238511B" w14:textId="77777777" w:rsidR="00D91C2F" w:rsidRPr="009373F6" w:rsidRDefault="00D91C2F" w:rsidP="00D91C2F">
      <w:pPr>
        <w:jc w:val="center"/>
        <w:rPr>
          <w:sz w:val="28"/>
          <w:szCs w:val="28"/>
        </w:rPr>
      </w:pPr>
    </w:p>
    <w:p w14:paraId="058C4DA2" w14:textId="77777777" w:rsidR="00D91C2F" w:rsidRPr="009373F6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14:paraId="728AE4A3" w14:textId="77777777"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5724889" w14:textId="77777777"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14:paraId="1C558B69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18D1F43E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14:paraId="4993B1BC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14:paraId="42165083" w14:textId="77777777" w:rsidR="00581CA0" w:rsidRPr="0055003D" w:rsidRDefault="005634C1" w:rsidP="00581CA0">
      <w:pPr>
        <w:ind w:firstLine="709"/>
        <w:jc w:val="both"/>
        <w:rPr>
          <w:sz w:val="28"/>
          <w:szCs w:val="28"/>
        </w:rPr>
      </w:pPr>
      <w:r w:rsidRPr="000416A6">
        <w:rPr>
          <w:sz w:val="28"/>
        </w:rPr>
        <w:t>В результате самостоятельной работы по модулю «</w:t>
      </w:r>
      <w:proofErr w:type="spellStart"/>
      <w:r w:rsidR="00A86365">
        <w:rPr>
          <w:color w:val="000000"/>
          <w:sz w:val="28"/>
          <w:szCs w:val="28"/>
        </w:rPr>
        <w:t>Симуляционный</w:t>
      </w:r>
      <w:proofErr w:type="spellEnd"/>
      <w:r w:rsidR="00A86365">
        <w:rPr>
          <w:color w:val="000000"/>
          <w:sz w:val="28"/>
          <w:szCs w:val="28"/>
        </w:rPr>
        <w:t xml:space="preserve"> курс по социальной гигиене и организации госсанэпидслужбы</w:t>
      </w:r>
      <w:r>
        <w:rPr>
          <w:sz w:val="28"/>
        </w:rPr>
        <w:t>» обучающие</w:t>
      </w:r>
      <w:r w:rsidRPr="000416A6">
        <w:rPr>
          <w:sz w:val="28"/>
        </w:rPr>
        <w:t>ся должн</w:t>
      </w:r>
      <w:r>
        <w:rPr>
          <w:sz w:val="28"/>
        </w:rPr>
        <w:t>ы</w:t>
      </w:r>
      <w:r w:rsidR="000C6B4F">
        <w:rPr>
          <w:sz w:val="28"/>
        </w:rPr>
        <w:t xml:space="preserve"> </w:t>
      </w:r>
      <w:r w:rsidR="0055003D">
        <w:rPr>
          <w:sz w:val="28"/>
        </w:rPr>
        <w:t>сформировать</w:t>
      </w:r>
      <w:r w:rsidR="000C6B4F">
        <w:rPr>
          <w:sz w:val="28"/>
        </w:rPr>
        <w:t xml:space="preserve"> </w:t>
      </w:r>
      <w:r w:rsidR="0055003D" w:rsidRPr="0055003D">
        <w:rPr>
          <w:sz w:val="28"/>
          <w:szCs w:val="28"/>
        </w:rPr>
        <w:t>умени</w:t>
      </w:r>
      <w:r w:rsidR="0055003D">
        <w:rPr>
          <w:sz w:val="28"/>
          <w:szCs w:val="28"/>
        </w:rPr>
        <w:t>я</w:t>
      </w:r>
      <w:r w:rsidR="0055003D" w:rsidRPr="0055003D">
        <w:rPr>
          <w:sz w:val="28"/>
          <w:szCs w:val="28"/>
        </w:rPr>
        <w:t xml:space="preserve"> организовать работу по обеспечению деятельности надзорных органов Федеральной службы по надзору в сфере защиты прав потребителей и благополучия человека по выполнению возложенных на них задач, по оказанию и предоставлению качественных услуг населению.</w:t>
      </w:r>
    </w:p>
    <w:p w14:paraId="6D1B9BE9" w14:textId="77777777" w:rsidR="004B2C94" w:rsidRPr="004B2C94" w:rsidRDefault="004B2C94" w:rsidP="004B2C94">
      <w:pPr>
        <w:ind w:firstLine="709"/>
        <w:jc w:val="both"/>
        <w:rPr>
          <w:sz w:val="28"/>
        </w:rPr>
      </w:pPr>
    </w:p>
    <w:p w14:paraId="5739302E" w14:textId="77777777"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>остоятельной работы обучающихся</w:t>
      </w:r>
    </w:p>
    <w:p w14:paraId="47FA3C56" w14:textId="77777777" w:rsidR="00476000" w:rsidRPr="000C6B4F" w:rsidRDefault="00476000" w:rsidP="00476000">
      <w:pPr>
        <w:ind w:firstLine="709"/>
        <w:jc w:val="both"/>
        <w:rPr>
          <w:sz w:val="28"/>
        </w:rPr>
      </w:pPr>
    </w:p>
    <w:p w14:paraId="65E99119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4C704E76" w14:textId="77777777"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14:paraId="0B7EF1AB" w14:textId="77777777" w:rsidR="00CB4CE8" w:rsidRPr="00CB4CE8" w:rsidRDefault="00CB4CE8" w:rsidP="00F55788">
      <w:pPr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590"/>
        <w:gridCol w:w="2542"/>
        <w:gridCol w:w="1961"/>
        <w:gridCol w:w="1952"/>
      </w:tblGrid>
      <w:tr w:rsidR="00605F7C" w:rsidRPr="00071EF2" w14:paraId="68B52ED1" w14:textId="77777777" w:rsidTr="000C6B4F">
        <w:trPr>
          <w:jc w:val="center"/>
        </w:trPr>
        <w:tc>
          <w:tcPr>
            <w:tcW w:w="526" w:type="dxa"/>
            <w:shd w:val="clear" w:color="auto" w:fill="auto"/>
          </w:tcPr>
          <w:p w14:paraId="2009D6B5" w14:textId="77777777"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14:paraId="347EB053" w14:textId="77777777"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Тема самостоятельной</w:t>
            </w:r>
          </w:p>
          <w:p w14:paraId="7B3F406F" w14:textId="77777777"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14:paraId="4497CBD3" w14:textId="77777777" w:rsidR="00AD092D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Форма</w:t>
            </w:r>
          </w:p>
          <w:p w14:paraId="0E732DE7" w14:textId="77777777" w:rsidR="006F14A4" w:rsidRPr="00071EF2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71EF2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14:paraId="73B4BEFF" w14:textId="77777777"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14:paraId="781032CC" w14:textId="77777777"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Форма</w:t>
            </w:r>
          </w:p>
          <w:p w14:paraId="2079A72F" w14:textId="77777777"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контактной</w:t>
            </w:r>
          </w:p>
          <w:p w14:paraId="760F7F47" w14:textId="77777777"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работы при</w:t>
            </w:r>
          </w:p>
          <w:p w14:paraId="4B92B264" w14:textId="77777777"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проведении</w:t>
            </w:r>
          </w:p>
          <w:p w14:paraId="55D279DF" w14:textId="77777777"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текущего</w:t>
            </w:r>
          </w:p>
          <w:p w14:paraId="069A4E29" w14:textId="77777777" w:rsidR="006F14A4" w:rsidRPr="00071EF2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71EF2">
              <w:rPr>
                <w:sz w:val="24"/>
                <w:szCs w:val="24"/>
              </w:rPr>
              <w:t>контроля</w:t>
            </w:r>
          </w:p>
        </w:tc>
      </w:tr>
      <w:tr w:rsidR="00605F7C" w:rsidRPr="00071EF2" w14:paraId="49094073" w14:textId="77777777" w:rsidTr="000C6B4F">
        <w:trPr>
          <w:jc w:val="center"/>
        </w:trPr>
        <w:tc>
          <w:tcPr>
            <w:tcW w:w="526" w:type="dxa"/>
            <w:shd w:val="clear" w:color="auto" w:fill="auto"/>
          </w:tcPr>
          <w:p w14:paraId="09D20369" w14:textId="77777777"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90" w:type="dxa"/>
            <w:shd w:val="clear" w:color="auto" w:fill="auto"/>
          </w:tcPr>
          <w:p w14:paraId="58D993CE" w14:textId="77777777"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2E083CAC" w14:textId="77777777"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14:paraId="0D0C6F79" w14:textId="77777777"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14:paraId="311D3865" w14:textId="77777777"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5</w:t>
            </w:r>
          </w:p>
        </w:tc>
      </w:tr>
      <w:tr w:rsidR="009978D9" w:rsidRPr="00071EF2" w14:paraId="595178F5" w14:textId="77777777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14:paraId="02FA59BE" w14:textId="77777777" w:rsidR="009978D9" w:rsidRPr="00071EF2" w:rsidRDefault="009978D9" w:rsidP="00A86365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071EF2">
              <w:rPr>
                <w:i/>
                <w:sz w:val="24"/>
                <w:szCs w:val="24"/>
              </w:rPr>
              <w:t>Самостоятел</w:t>
            </w:r>
            <w:r w:rsidR="00693E11" w:rsidRPr="00071EF2">
              <w:rPr>
                <w:i/>
                <w:sz w:val="24"/>
                <w:szCs w:val="24"/>
              </w:rPr>
              <w:t xml:space="preserve">ьная работа в рамках </w:t>
            </w:r>
            <w:r w:rsidR="00A86365">
              <w:rPr>
                <w:i/>
                <w:sz w:val="24"/>
                <w:szCs w:val="24"/>
              </w:rPr>
              <w:t>дисциплины</w:t>
            </w:r>
          </w:p>
        </w:tc>
      </w:tr>
      <w:tr w:rsidR="00605F7C" w:rsidRPr="00071EF2" w14:paraId="0925626C" w14:textId="77777777" w:rsidTr="000C6B4F">
        <w:trPr>
          <w:jc w:val="center"/>
        </w:trPr>
        <w:tc>
          <w:tcPr>
            <w:tcW w:w="526" w:type="dxa"/>
            <w:shd w:val="clear" w:color="auto" w:fill="auto"/>
          </w:tcPr>
          <w:p w14:paraId="259A2BEB" w14:textId="77777777" w:rsidR="009978D9" w:rsidRPr="00071EF2" w:rsidRDefault="009978D9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14:paraId="2693A9D8" w14:textId="77777777" w:rsidR="009978D9" w:rsidRPr="00071EF2" w:rsidRDefault="009978D9" w:rsidP="00D80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14:paraId="09E78449" w14:textId="77777777" w:rsidR="009978D9" w:rsidRPr="00071EF2" w:rsidRDefault="00216765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реферат</w:t>
            </w:r>
          </w:p>
        </w:tc>
        <w:tc>
          <w:tcPr>
            <w:tcW w:w="1961" w:type="dxa"/>
            <w:shd w:val="clear" w:color="auto" w:fill="auto"/>
          </w:tcPr>
          <w:p w14:paraId="11CA9C92" w14:textId="77777777" w:rsidR="009978D9" w:rsidRPr="00071EF2" w:rsidRDefault="00216765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Сдача реферата</w:t>
            </w:r>
          </w:p>
        </w:tc>
        <w:tc>
          <w:tcPr>
            <w:tcW w:w="1952" w:type="dxa"/>
            <w:shd w:val="clear" w:color="auto" w:fill="auto"/>
          </w:tcPr>
          <w:p w14:paraId="24E53B6C" w14:textId="77777777" w:rsidR="009978D9" w:rsidRPr="00071EF2" w:rsidRDefault="00A45B19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 xml:space="preserve">аудиторная, </w:t>
            </w:r>
            <w:r w:rsidR="00A6147F" w:rsidRPr="00071EF2">
              <w:rPr>
                <w:sz w:val="24"/>
                <w:szCs w:val="24"/>
              </w:rPr>
              <w:t>КСР</w:t>
            </w:r>
          </w:p>
        </w:tc>
      </w:tr>
      <w:tr w:rsidR="004B1FEE" w:rsidRPr="00071EF2" w14:paraId="6C39E15F" w14:textId="77777777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14:paraId="7A3D87F2" w14:textId="77777777" w:rsidR="004B1FEE" w:rsidRPr="00A86365" w:rsidRDefault="004B1FEE" w:rsidP="00071EF2">
            <w:pPr>
              <w:jc w:val="center"/>
              <w:rPr>
                <w:i/>
                <w:sz w:val="24"/>
                <w:szCs w:val="24"/>
              </w:rPr>
            </w:pPr>
            <w:r w:rsidRPr="00A86365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14:paraId="25955064" w14:textId="77777777" w:rsidR="004B1FEE" w:rsidRPr="00071EF2" w:rsidRDefault="004B1FEE" w:rsidP="00A86365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A86365">
              <w:rPr>
                <w:i/>
                <w:sz w:val="24"/>
                <w:szCs w:val="24"/>
              </w:rPr>
              <w:t>модуля «</w:t>
            </w:r>
            <w:r w:rsidR="00A86365" w:rsidRPr="00A86365">
              <w:rPr>
                <w:i/>
                <w:color w:val="000000"/>
                <w:sz w:val="24"/>
                <w:szCs w:val="24"/>
              </w:rPr>
              <w:t>Правовые основы деятельности органов и учреждений федеральной службы по надзору в сфере защиты прав потребителей и благополучия человека</w:t>
            </w:r>
            <w:r w:rsidRPr="00A86365">
              <w:rPr>
                <w:i/>
                <w:sz w:val="24"/>
                <w:szCs w:val="24"/>
              </w:rPr>
              <w:t>»</w:t>
            </w:r>
          </w:p>
        </w:tc>
      </w:tr>
      <w:tr w:rsidR="004B1FEE" w:rsidRPr="00071EF2" w14:paraId="5E189EAA" w14:textId="77777777" w:rsidTr="000C6B4F">
        <w:trPr>
          <w:jc w:val="center"/>
        </w:trPr>
        <w:tc>
          <w:tcPr>
            <w:tcW w:w="526" w:type="dxa"/>
            <w:shd w:val="clear" w:color="auto" w:fill="auto"/>
          </w:tcPr>
          <w:p w14:paraId="0387D993" w14:textId="77777777"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14:paraId="0DB28AC9" w14:textId="77777777" w:rsidR="004B1FEE" w:rsidRPr="00A86365" w:rsidRDefault="004B1FEE" w:rsidP="00CC3961">
            <w:pPr>
              <w:jc w:val="center"/>
              <w:rPr>
                <w:sz w:val="24"/>
                <w:szCs w:val="24"/>
              </w:rPr>
            </w:pPr>
            <w:r w:rsidRPr="00A86365">
              <w:rPr>
                <w:sz w:val="24"/>
                <w:szCs w:val="24"/>
              </w:rPr>
              <w:t>Тема «</w:t>
            </w:r>
            <w:r w:rsidR="00A86365" w:rsidRPr="00A86365">
              <w:rPr>
                <w:color w:val="000000"/>
                <w:sz w:val="24"/>
                <w:szCs w:val="24"/>
              </w:rPr>
              <w:t>Нормативно-правовое и методическое обеспечение деятельности учреждений Роспотребнадзора</w:t>
            </w:r>
            <w:r w:rsidRPr="00A8636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14:paraId="15830535" w14:textId="77777777" w:rsidR="004B1FEE" w:rsidRPr="00071EF2" w:rsidRDefault="00A86365" w:rsidP="00A86365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Р</w:t>
            </w:r>
            <w:r w:rsidR="004B1FEE" w:rsidRPr="00071EF2">
              <w:rPr>
                <w:sz w:val="24"/>
                <w:szCs w:val="24"/>
              </w:rPr>
              <w:t>абота</w:t>
            </w:r>
            <w:r>
              <w:rPr>
                <w:sz w:val="24"/>
                <w:szCs w:val="24"/>
              </w:rPr>
              <w:t xml:space="preserve"> над</w:t>
            </w:r>
            <w:r w:rsidR="004B1FEE" w:rsidRPr="00071EF2">
              <w:rPr>
                <w:sz w:val="24"/>
                <w:szCs w:val="24"/>
              </w:rPr>
              <w:t xml:space="preserve">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14:paraId="5E6B80F8" w14:textId="77777777" w:rsidR="00A86365" w:rsidRDefault="00A86365" w:rsidP="00071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  <w:p w14:paraId="5D3F8535" w14:textId="77777777"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 xml:space="preserve">устный опрос </w:t>
            </w:r>
            <w:r w:rsidR="00CB4CE8" w:rsidRPr="00071EF2"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14:paraId="68E6174C" w14:textId="77777777"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аудиторная</w:t>
            </w:r>
          </w:p>
        </w:tc>
      </w:tr>
      <w:tr w:rsidR="004B1FEE" w:rsidRPr="00071EF2" w14:paraId="25BC6BAE" w14:textId="77777777" w:rsidTr="000C6B4F">
        <w:trPr>
          <w:jc w:val="center"/>
        </w:trPr>
        <w:tc>
          <w:tcPr>
            <w:tcW w:w="526" w:type="dxa"/>
            <w:shd w:val="clear" w:color="auto" w:fill="auto"/>
          </w:tcPr>
          <w:p w14:paraId="718BDAB6" w14:textId="77777777"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14:paraId="1D527B18" w14:textId="77777777" w:rsidR="004B1FEE" w:rsidRPr="00A86365" w:rsidRDefault="004B1FEE" w:rsidP="00D147DB">
            <w:pPr>
              <w:jc w:val="center"/>
              <w:rPr>
                <w:sz w:val="24"/>
                <w:szCs w:val="24"/>
              </w:rPr>
            </w:pPr>
            <w:r w:rsidRPr="00A86365">
              <w:rPr>
                <w:color w:val="000000"/>
                <w:sz w:val="24"/>
                <w:szCs w:val="24"/>
              </w:rPr>
              <w:t>Тема «</w:t>
            </w:r>
            <w:r w:rsidR="00A86365" w:rsidRPr="00A86365">
              <w:rPr>
                <w:color w:val="000000"/>
                <w:sz w:val="24"/>
                <w:szCs w:val="24"/>
              </w:rPr>
              <w:t>Система оценки деятельности органов и учреждений Федеральной службы по надзору в сфере защиты прав потребителей и благополучия человека</w:t>
            </w:r>
            <w:r w:rsidRPr="00A8636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14:paraId="00490EAE" w14:textId="77777777" w:rsidR="004B1FEE" w:rsidRPr="00071EF2" w:rsidRDefault="004B1FEE" w:rsidP="00A86365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14:paraId="0DC4DD37" w14:textId="77777777" w:rsidR="00A86365" w:rsidRDefault="00A86365" w:rsidP="00A8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  <w:p w14:paraId="54673CB4" w14:textId="77777777" w:rsidR="004B1FEE" w:rsidRPr="00071EF2" w:rsidRDefault="00A86365" w:rsidP="00A86365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14:paraId="1790B6AB" w14:textId="77777777"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аудиторная</w:t>
            </w:r>
          </w:p>
        </w:tc>
      </w:tr>
      <w:tr w:rsidR="00A86365" w:rsidRPr="00071EF2" w14:paraId="14293B93" w14:textId="77777777" w:rsidTr="0001397A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14:paraId="487BB678" w14:textId="77777777" w:rsidR="00A86365" w:rsidRPr="00A86365" w:rsidRDefault="00A86365" w:rsidP="00A86365">
            <w:pPr>
              <w:jc w:val="center"/>
              <w:rPr>
                <w:i/>
                <w:sz w:val="24"/>
                <w:szCs w:val="24"/>
              </w:rPr>
            </w:pPr>
            <w:r w:rsidRPr="00A86365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14:paraId="4D1405A4" w14:textId="77777777" w:rsidR="00A86365" w:rsidRPr="00071EF2" w:rsidRDefault="00A86365" w:rsidP="00A86365">
            <w:pPr>
              <w:jc w:val="center"/>
              <w:rPr>
                <w:sz w:val="24"/>
                <w:szCs w:val="24"/>
              </w:rPr>
            </w:pPr>
            <w:r w:rsidRPr="00A86365">
              <w:rPr>
                <w:i/>
                <w:sz w:val="24"/>
                <w:szCs w:val="24"/>
              </w:rPr>
              <w:t>модуля «</w:t>
            </w:r>
            <w:r w:rsidRPr="00A86365">
              <w:rPr>
                <w:i/>
                <w:color w:val="000000"/>
                <w:sz w:val="24"/>
                <w:szCs w:val="28"/>
              </w:rPr>
              <w:t>Организация деятельности органов и учреждений Роспотребнадзора</w:t>
            </w:r>
            <w:r w:rsidRPr="00A86365">
              <w:rPr>
                <w:i/>
                <w:sz w:val="24"/>
                <w:szCs w:val="24"/>
              </w:rPr>
              <w:t>»</w:t>
            </w:r>
          </w:p>
        </w:tc>
      </w:tr>
      <w:tr w:rsidR="004B1FEE" w:rsidRPr="00071EF2" w14:paraId="5E080FFF" w14:textId="77777777" w:rsidTr="000C6B4F">
        <w:trPr>
          <w:jc w:val="center"/>
        </w:trPr>
        <w:tc>
          <w:tcPr>
            <w:tcW w:w="526" w:type="dxa"/>
            <w:shd w:val="clear" w:color="auto" w:fill="auto"/>
          </w:tcPr>
          <w:p w14:paraId="0CDF2576" w14:textId="77777777" w:rsidR="004B1FEE" w:rsidRPr="00071EF2" w:rsidRDefault="00A86365" w:rsidP="00071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14:paraId="67ACD60A" w14:textId="77777777" w:rsidR="004B1FEE" w:rsidRPr="00A86365" w:rsidRDefault="004B1FEE" w:rsidP="00CC3961">
            <w:pPr>
              <w:jc w:val="center"/>
              <w:rPr>
                <w:sz w:val="24"/>
                <w:szCs w:val="24"/>
              </w:rPr>
            </w:pPr>
            <w:r w:rsidRPr="00A86365">
              <w:rPr>
                <w:color w:val="000000"/>
                <w:sz w:val="24"/>
                <w:szCs w:val="24"/>
              </w:rPr>
              <w:t>Тема «</w:t>
            </w:r>
            <w:r w:rsidR="00A86365" w:rsidRPr="00A86365">
              <w:rPr>
                <w:color w:val="000000"/>
                <w:sz w:val="24"/>
                <w:szCs w:val="24"/>
              </w:rPr>
              <w:t>План мероприятий по обеспечению выполнения требований соглашений ВТО в рамках подготовки присоединения России к ВТО</w:t>
            </w:r>
            <w:r w:rsidRPr="00A8636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14:paraId="6C9C23FC" w14:textId="77777777"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 xml:space="preserve">работа </w:t>
            </w:r>
            <w:r w:rsidR="00581CA0" w:rsidRPr="00071EF2">
              <w:rPr>
                <w:sz w:val="24"/>
                <w:szCs w:val="24"/>
              </w:rPr>
              <w:t xml:space="preserve">над </w:t>
            </w:r>
            <w:r w:rsidRPr="00071EF2">
              <w:rPr>
                <w:sz w:val="24"/>
                <w:szCs w:val="24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14:paraId="3D1D5908" w14:textId="77777777" w:rsidR="00A86365" w:rsidRDefault="00A86365" w:rsidP="00A8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  <w:p w14:paraId="29ED63B2" w14:textId="77777777" w:rsidR="004B1FEE" w:rsidRPr="00071EF2" w:rsidRDefault="00A86365" w:rsidP="00A86365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14:paraId="13166AB3" w14:textId="77777777"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аудиторная</w:t>
            </w:r>
          </w:p>
        </w:tc>
      </w:tr>
      <w:tr w:rsidR="00A86365" w:rsidRPr="00071EF2" w14:paraId="4B1C8279" w14:textId="77777777" w:rsidTr="003E78E1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14:paraId="765A8199" w14:textId="77777777" w:rsidR="00A86365" w:rsidRPr="00A86365" w:rsidRDefault="00A86365" w:rsidP="00A86365">
            <w:pPr>
              <w:jc w:val="center"/>
              <w:rPr>
                <w:i/>
                <w:sz w:val="24"/>
                <w:szCs w:val="24"/>
              </w:rPr>
            </w:pPr>
            <w:r w:rsidRPr="00A86365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14:paraId="092AD43B" w14:textId="77777777" w:rsidR="00A86365" w:rsidRPr="00071EF2" w:rsidRDefault="00A86365" w:rsidP="00A86365">
            <w:pPr>
              <w:jc w:val="center"/>
              <w:rPr>
                <w:sz w:val="24"/>
                <w:szCs w:val="24"/>
              </w:rPr>
            </w:pPr>
            <w:r w:rsidRPr="00A86365">
              <w:rPr>
                <w:i/>
                <w:sz w:val="24"/>
                <w:szCs w:val="24"/>
              </w:rPr>
              <w:t>модуля «</w:t>
            </w:r>
            <w:r w:rsidR="0055003D" w:rsidRPr="0055003D">
              <w:rPr>
                <w:i/>
                <w:color w:val="000000"/>
                <w:sz w:val="24"/>
                <w:szCs w:val="28"/>
              </w:rPr>
              <w:t>Финансирование деятельности бюджетных организаций Роспотребнадзора</w:t>
            </w:r>
            <w:r w:rsidRPr="00A86365">
              <w:rPr>
                <w:i/>
                <w:sz w:val="24"/>
                <w:szCs w:val="24"/>
              </w:rPr>
              <w:t>»</w:t>
            </w:r>
          </w:p>
        </w:tc>
      </w:tr>
      <w:tr w:rsidR="004B1FEE" w:rsidRPr="00071EF2" w14:paraId="6CB7AC48" w14:textId="77777777" w:rsidTr="000C6B4F">
        <w:trPr>
          <w:jc w:val="center"/>
        </w:trPr>
        <w:tc>
          <w:tcPr>
            <w:tcW w:w="526" w:type="dxa"/>
            <w:shd w:val="clear" w:color="auto" w:fill="auto"/>
          </w:tcPr>
          <w:p w14:paraId="1FC627C9" w14:textId="77777777" w:rsidR="004B1FEE" w:rsidRPr="0055003D" w:rsidRDefault="0055003D" w:rsidP="00071EF2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14:paraId="0FF11CF8" w14:textId="77777777" w:rsidR="004B1FEE" w:rsidRPr="0055003D" w:rsidRDefault="004B1FEE" w:rsidP="00CC3961">
            <w:pPr>
              <w:jc w:val="center"/>
              <w:rPr>
                <w:sz w:val="24"/>
                <w:szCs w:val="24"/>
              </w:rPr>
            </w:pPr>
            <w:r w:rsidRPr="0055003D">
              <w:rPr>
                <w:color w:val="000000"/>
                <w:sz w:val="24"/>
                <w:szCs w:val="24"/>
              </w:rPr>
              <w:t>Тема «</w:t>
            </w:r>
            <w:r w:rsidR="0055003D" w:rsidRPr="0055003D">
              <w:rPr>
                <w:sz w:val="24"/>
                <w:szCs w:val="24"/>
              </w:rPr>
              <w:t>Платные услуги в учреждениях Роспотребнадзора</w:t>
            </w:r>
            <w:r w:rsidRPr="0055003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14:paraId="2FF10C7E" w14:textId="77777777" w:rsidR="004B1FEE" w:rsidRPr="0055003D" w:rsidRDefault="004B1FEE" w:rsidP="00071EF2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14:paraId="4D7912AB" w14:textId="77777777" w:rsidR="00A86365" w:rsidRPr="0055003D" w:rsidRDefault="00A86365" w:rsidP="00A86365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Письменный опрос</w:t>
            </w:r>
          </w:p>
          <w:p w14:paraId="38CDFC3E" w14:textId="77777777" w:rsidR="004B1FEE" w:rsidRPr="0055003D" w:rsidRDefault="00A86365" w:rsidP="00A86365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14:paraId="5152B35C" w14:textId="77777777" w:rsidR="004B1FEE" w:rsidRPr="0055003D" w:rsidRDefault="004B1FEE" w:rsidP="00071EF2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аудиторная</w:t>
            </w:r>
          </w:p>
        </w:tc>
      </w:tr>
      <w:tr w:rsidR="0055003D" w:rsidRPr="00071EF2" w14:paraId="021951BC" w14:textId="77777777" w:rsidTr="000C6B4F">
        <w:trPr>
          <w:jc w:val="center"/>
        </w:trPr>
        <w:tc>
          <w:tcPr>
            <w:tcW w:w="526" w:type="dxa"/>
            <w:shd w:val="clear" w:color="auto" w:fill="auto"/>
          </w:tcPr>
          <w:p w14:paraId="5D593A85" w14:textId="77777777" w:rsidR="0055003D" w:rsidRPr="0055003D" w:rsidRDefault="0055003D" w:rsidP="00071EF2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14:paraId="4326DD9A" w14:textId="77777777" w:rsidR="0055003D" w:rsidRPr="0055003D" w:rsidRDefault="0055003D" w:rsidP="0055003D">
            <w:pPr>
              <w:jc w:val="center"/>
              <w:rPr>
                <w:sz w:val="24"/>
                <w:szCs w:val="24"/>
              </w:rPr>
            </w:pPr>
            <w:r w:rsidRPr="0055003D">
              <w:rPr>
                <w:color w:val="000000"/>
                <w:sz w:val="24"/>
                <w:szCs w:val="24"/>
              </w:rPr>
              <w:t xml:space="preserve">Тема «Порядок формирования государственного задания федеральных бюджетных и казенных учреждений и финансового обеспечения выполнения государственного </w:t>
            </w:r>
            <w:r w:rsidRPr="0055003D">
              <w:rPr>
                <w:color w:val="000000"/>
                <w:sz w:val="24"/>
                <w:szCs w:val="24"/>
              </w:rPr>
              <w:lastRenderedPageBreak/>
              <w:t>задания»</w:t>
            </w:r>
          </w:p>
        </w:tc>
        <w:tc>
          <w:tcPr>
            <w:tcW w:w="2542" w:type="dxa"/>
            <w:shd w:val="clear" w:color="auto" w:fill="auto"/>
          </w:tcPr>
          <w:p w14:paraId="45103C41" w14:textId="77777777"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lastRenderedPageBreak/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14:paraId="1AE46541" w14:textId="77777777"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Письменный опрос</w:t>
            </w:r>
          </w:p>
          <w:p w14:paraId="470D27B5" w14:textId="77777777"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14:paraId="5EB93454" w14:textId="77777777"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аудиторная</w:t>
            </w:r>
          </w:p>
        </w:tc>
      </w:tr>
      <w:tr w:rsidR="0055003D" w:rsidRPr="00071EF2" w14:paraId="0225194A" w14:textId="77777777" w:rsidTr="0091673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14:paraId="20615D42" w14:textId="77777777" w:rsidR="0055003D" w:rsidRPr="00A86365" w:rsidRDefault="0055003D" w:rsidP="0055003D">
            <w:pPr>
              <w:jc w:val="center"/>
              <w:rPr>
                <w:i/>
                <w:sz w:val="24"/>
                <w:szCs w:val="24"/>
              </w:rPr>
            </w:pPr>
            <w:r w:rsidRPr="00A86365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14:paraId="52437D27" w14:textId="77777777" w:rsidR="0055003D" w:rsidRPr="00071EF2" w:rsidRDefault="0055003D" w:rsidP="0055003D">
            <w:pPr>
              <w:jc w:val="center"/>
              <w:rPr>
                <w:sz w:val="24"/>
                <w:szCs w:val="24"/>
              </w:rPr>
            </w:pPr>
            <w:r w:rsidRPr="00A86365">
              <w:rPr>
                <w:i/>
                <w:sz w:val="24"/>
                <w:szCs w:val="24"/>
              </w:rPr>
              <w:t>модуля «</w:t>
            </w:r>
            <w:r w:rsidRPr="0055003D">
              <w:rPr>
                <w:i/>
                <w:color w:val="000000"/>
                <w:sz w:val="24"/>
                <w:szCs w:val="28"/>
              </w:rPr>
              <w:t>Организация и осуществление контрольно-надзорных мероприятий»</w:t>
            </w:r>
          </w:p>
        </w:tc>
      </w:tr>
      <w:tr w:rsidR="0055003D" w:rsidRPr="00071EF2" w14:paraId="70112982" w14:textId="77777777" w:rsidTr="000C6B4F">
        <w:trPr>
          <w:jc w:val="center"/>
        </w:trPr>
        <w:tc>
          <w:tcPr>
            <w:tcW w:w="526" w:type="dxa"/>
            <w:shd w:val="clear" w:color="auto" w:fill="auto"/>
          </w:tcPr>
          <w:p w14:paraId="6447D05F" w14:textId="77777777" w:rsidR="0055003D" w:rsidRPr="00071EF2" w:rsidRDefault="0055003D" w:rsidP="00071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14:paraId="3211B7F6" w14:textId="77777777"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color w:val="000000"/>
                <w:sz w:val="24"/>
                <w:szCs w:val="24"/>
              </w:rPr>
              <w:t>Тема «Организация санитарного контроля и надзора»</w:t>
            </w:r>
          </w:p>
        </w:tc>
        <w:tc>
          <w:tcPr>
            <w:tcW w:w="2542" w:type="dxa"/>
            <w:shd w:val="clear" w:color="auto" w:fill="auto"/>
          </w:tcPr>
          <w:p w14:paraId="6CCB34FA" w14:textId="77777777"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14:paraId="4ABC4824" w14:textId="77777777"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Письменный опрос</w:t>
            </w:r>
          </w:p>
          <w:p w14:paraId="34286785" w14:textId="77777777"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14:paraId="0D181603" w14:textId="77777777" w:rsidR="0055003D" w:rsidRPr="0055003D" w:rsidRDefault="0055003D" w:rsidP="0061285E">
            <w:pPr>
              <w:jc w:val="center"/>
              <w:rPr>
                <w:sz w:val="24"/>
                <w:szCs w:val="24"/>
              </w:rPr>
            </w:pPr>
            <w:r w:rsidRPr="0055003D">
              <w:rPr>
                <w:sz w:val="24"/>
                <w:szCs w:val="24"/>
              </w:rPr>
              <w:t>аудиторная</w:t>
            </w:r>
          </w:p>
        </w:tc>
      </w:tr>
    </w:tbl>
    <w:p w14:paraId="5D7257D0" w14:textId="77777777" w:rsidR="00216765" w:rsidRPr="00216765" w:rsidRDefault="00216765" w:rsidP="00216765">
      <w:pPr>
        <w:pStyle w:val="aa"/>
        <w:ind w:left="0"/>
        <w:rPr>
          <w:sz w:val="28"/>
        </w:rPr>
      </w:pPr>
    </w:p>
    <w:p w14:paraId="069F9C82" w14:textId="77777777"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14:paraId="3443E7D1" w14:textId="77777777"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14:paraId="2C21066F" w14:textId="77777777"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0A008B12" w14:textId="77777777"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14:paraId="51E3F499" w14:textId="77777777"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14:paraId="312B813A" w14:textId="77777777"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6D095A45" w14:textId="77777777"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1AD8FEDB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11B5DFB8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09544640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0117C5C4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080AB2BE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1D77E1E4" w14:textId="77777777"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1B21B605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775092E6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14:paraId="69208923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14:paraId="2039E473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14:paraId="67FDD65C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1015654F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14:paraId="1FDC5208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14:paraId="6243B793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14:paraId="5AE664DB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53B81952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14:paraId="58B050FB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14:paraId="7F1F8020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14:paraId="76834EBF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14:paraId="2670F0CC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55D27BE1" w14:textId="77777777"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14:paraId="06E7424E" w14:textId="77777777"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14:paraId="70E75C76" w14:textId="77777777"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76D3088F" w14:textId="77777777"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18FC5328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14:paraId="230EED17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0EAA50BE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36E84425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14:paraId="078AFEFC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7A64BE38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14:paraId="05E25EC9" w14:textId="77777777"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14:paraId="585B02FC" w14:textId="77777777"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14:paraId="368E5FB4" w14:textId="77777777"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14:paraId="0EFA5449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14:paraId="34802A78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14:paraId="33EA0F0B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14:paraId="354FDD7B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14:paraId="53F09245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14:paraId="4F28520F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14:paraId="58E0DFFD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14:paraId="45FDE53F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14:paraId="385070C9" w14:textId="77777777"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14:paraId="0103B321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14:paraId="05FB9FE1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14:paraId="213138A2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14:paraId="78565F2B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14:paraId="248DFE01" w14:textId="77777777"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76563484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14:paraId="6429A915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14:paraId="2D4871A8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14:paraId="4F3D0A81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14:paraId="73C8D3D9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14:paraId="7A7415A1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14:paraId="526EAD9C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14:paraId="7B0717B4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14:paraId="5A255305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14:paraId="64EEBFC1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14:paraId="363F4042" w14:textId="77777777" w:rsidR="00905D91" w:rsidRDefault="00905D91" w:rsidP="00DE20D2">
      <w:pPr>
        <w:jc w:val="both"/>
        <w:rPr>
          <w:sz w:val="28"/>
        </w:rPr>
      </w:pPr>
    </w:p>
    <w:p w14:paraId="3390E218" w14:textId="77777777" w:rsidR="00216765" w:rsidRDefault="00216765" w:rsidP="0021676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составлению сводных (обобщающих) </w:t>
      </w:r>
    </w:p>
    <w:p w14:paraId="583E7C72" w14:textId="77777777" w:rsidR="00216765" w:rsidRPr="00AD3EBB" w:rsidRDefault="00216765" w:rsidP="00216765">
      <w:pPr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14:paraId="7039176C" w14:textId="77777777"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14:paraId="59448DA8" w14:textId="77777777" w:rsidR="00216765" w:rsidRPr="009C4A0D" w:rsidRDefault="00216765" w:rsidP="0021676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14:paraId="35FB56F3" w14:textId="77777777"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14:paraId="064377DB" w14:textId="77777777"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14:paraId="6559BC49" w14:textId="77777777"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14:paraId="3E993168" w14:textId="77777777"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14:paraId="16094A69" w14:textId="77777777"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14:paraId="7D7859A2" w14:textId="77777777"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14:paraId="0D13A499" w14:textId="77777777" w:rsidR="00216765" w:rsidRPr="00AD3EBB" w:rsidRDefault="00216765" w:rsidP="0021676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 xml:space="preserve">) если суммирование данных невозможно, то в этой графе ставят знак умножения; </w:t>
      </w:r>
    </w:p>
    <w:p w14:paraId="459E4817" w14:textId="77777777" w:rsidR="00216765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14:paraId="64407145" w14:textId="77777777" w:rsidR="00216765" w:rsidRPr="00A86365" w:rsidRDefault="00216765" w:rsidP="00A86365">
      <w:pPr>
        <w:jc w:val="both"/>
        <w:rPr>
          <w:sz w:val="16"/>
        </w:rPr>
      </w:pPr>
    </w:p>
    <w:p w14:paraId="174658E2" w14:textId="77777777" w:rsidR="00216765" w:rsidRPr="00BD5AFD" w:rsidRDefault="00216765" w:rsidP="00AA15D7">
      <w:pPr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14:paraId="00CC9066" w14:textId="77777777"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42CC58AB" w14:textId="77777777" w:rsidR="00216765" w:rsidRPr="00BD5AFD" w:rsidRDefault="00216765" w:rsidP="00216765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14:paraId="34727A21" w14:textId="77777777"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26C41969" w14:textId="77777777"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14:paraId="4C0F8751" w14:textId="77777777"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14:paraId="0AC714C8" w14:textId="77777777"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14:paraId="1274F4C8" w14:textId="77777777"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14:paraId="2BDF5202" w14:textId="77777777" w:rsidR="00216765" w:rsidRPr="00216765" w:rsidRDefault="00216765" w:rsidP="00216765">
      <w:pPr>
        <w:pStyle w:val="aa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216765">
        <w:rPr>
          <w:sz w:val="28"/>
          <w:szCs w:val="28"/>
        </w:rPr>
        <w:t>актуальность рассматриваемой проблемы;</w:t>
      </w:r>
    </w:p>
    <w:p w14:paraId="3159D6CB" w14:textId="77777777" w:rsidR="00216765" w:rsidRPr="00216765" w:rsidRDefault="00216765" w:rsidP="00216765">
      <w:pPr>
        <w:pStyle w:val="aa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216765">
        <w:rPr>
          <w:sz w:val="28"/>
          <w:szCs w:val="28"/>
        </w:rPr>
        <w:t>обоснованность излагаемых проблем, вопросов, предложений;</w:t>
      </w:r>
    </w:p>
    <w:p w14:paraId="5E91E8D6" w14:textId="77777777" w:rsidR="00216765" w:rsidRPr="00216765" w:rsidRDefault="00216765" w:rsidP="00216765">
      <w:pPr>
        <w:pStyle w:val="aa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216765">
        <w:rPr>
          <w:sz w:val="28"/>
          <w:szCs w:val="28"/>
        </w:rPr>
        <w:t>логичность, последовательность и краткость изложения;</w:t>
      </w:r>
    </w:p>
    <w:p w14:paraId="1E9E3156" w14:textId="77777777" w:rsidR="00216765" w:rsidRPr="00216765" w:rsidRDefault="00216765" w:rsidP="00216765">
      <w:pPr>
        <w:pStyle w:val="aa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216765">
        <w:rPr>
          <w:sz w:val="28"/>
          <w:szCs w:val="28"/>
        </w:rPr>
        <w:t>отражение мнения по проблеме реферирующего.</w:t>
      </w:r>
    </w:p>
    <w:p w14:paraId="35D770AE" w14:textId="77777777"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«Times New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14:paraId="250AA525" w14:textId="77777777"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14:paraId="246E3F6E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8821" w14:textId="77777777" w:rsidR="007C3CEE" w:rsidRDefault="007C3CEE" w:rsidP="00FD5B6B">
      <w:r>
        <w:separator/>
      </w:r>
    </w:p>
  </w:endnote>
  <w:endnote w:type="continuationSeparator" w:id="0">
    <w:p w14:paraId="2D89D50A" w14:textId="77777777" w:rsidR="007C3CEE" w:rsidRDefault="007C3CE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78B4" w14:textId="77777777" w:rsidR="00A56836" w:rsidRDefault="00653059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4F0EEA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2B8F" w14:textId="77777777" w:rsidR="007C3CEE" w:rsidRDefault="007C3CEE" w:rsidP="00FD5B6B">
      <w:r>
        <w:separator/>
      </w:r>
    </w:p>
  </w:footnote>
  <w:footnote w:type="continuationSeparator" w:id="0">
    <w:p w14:paraId="2899D2A3" w14:textId="77777777" w:rsidR="007C3CEE" w:rsidRDefault="007C3CE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146974"/>
    <w:multiLevelType w:val="hybridMultilevel"/>
    <w:tmpl w:val="DFEE2D32"/>
    <w:lvl w:ilvl="0" w:tplc="0B3094E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867094">
    <w:abstractNumId w:val="33"/>
    <w:lvlOverride w:ilvl="0">
      <w:startOverride w:val="1"/>
    </w:lvlOverride>
  </w:num>
  <w:num w:numId="2" w16cid:durableId="544561652">
    <w:abstractNumId w:val="13"/>
    <w:lvlOverride w:ilvl="0">
      <w:startOverride w:val="1"/>
    </w:lvlOverride>
  </w:num>
  <w:num w:numId="3" w16cid:durableId="1659075531">
    <w:abstractNumId w:val="38"/>
  </w:num>
  <w:num w:numId="4" w16cid:durableId="1795366182">
    <w:abstractNumId w:val="5"/>
  </w:num>
  <w:num w:numId="5" w16cid:durableId="237056278">
    <w:abstractNumId w:val="19"/>
  </w:num>
  <w:num w:numId="6" w16cid:durableId="1713536054">
    <w:abstractNumId w:val="15"/>
  </w:num>
  <w:num w:numId="7" w16cid:durableId="615910890">
    <w:abstractNumId w:val="12"/>
  </w:num>
  <w:num w:numId="8" w16cid:durableId="738133000">
    <w:abstractNumId w:val="40"/>
  </w:num>
  <w:num w:numId="9" w16cid:durableId="655182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8090535">
    <w:abstractNumId w:val="17"/>
  </w:num>
  <w:num w:numId="11" w16cid:durableId="9596505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0725448">
    <w:abstractNumId w:val="12"/>
  </w:num>
  <w:num w:numId="13" w16cid:durableId="831605162">
    <w:abstractNumId w:val="7"/>
  </w:num>
  <w:num w:numId="14" w16cid:durableId="1792674120">
    <w:abstractNumId w:val="39"/>
  </w:num>
  <w:num w:numId="15" w16cid:durableId="401947056">
    <w:abstractNumId w:val="34"/>
  </w:num>
  <w:num w:numId="16" w16cid:durableId="203954642">
    <w:abstractNumId w:val="1"/>
  </w:num>
  <w:num w:numId="17" w16cid:durableId="1167133020">
    <w:abstractNumId w:val="25"/>
  </w:num>
  <w:num w:numId="18" w16cid:durableId="883641990">
    <w:abstractNumId w:val="30"/>
  </w:num>
  <w:num w:numId="19" w16cid:durableId="1847742999">
    <w:abstractNumId w:val="36"/>
  </w:num>
  <w:num w:numId="20" w16cid:durableId="2002807080">
    <w:abstractNumId w:val="20"/>
  </w:num>
  <w:num w:numId="21" w16cid:durableId="652220225">
    <w:abstractNumId w:val="23"/>
  </w:num>
  <w:num w:numId="22" w16cid:durableId="104927716">
    <w:abstractNumId w:val="27"/>
  </w:num>
  <w:num w:numId="23" w16cid:durableId="1813787908">
    <w:abstractNumId w:val="32"/>
  </w:num>
  <w:num w:numId="24" w16cid:durableId="1414857097">
    <w:abstractNumId w:val="21"/>
  </w:num>
  <w:num w:numId="25" w16cid:durableId="1468157665">
    <w:abstractNumId w:val="14"/>
  </w:num>
  <w:num w:numId="26" w16cid:durableId="1087728356">
    <w:abstractNumId w:val="0"/>
  </w:num>
  <w:num w:numId="27" w16cid:durableId="412899369">
    <w:abstractNumId w:val="6"/>
  </w:num>
  <w:num w:numId="28" w16cid:durableId="914163630">
    <w:abstractNumId w:val="4"/>
  </w:num>
  <w:num w:numId="29" w16cid:durableId="1711689461">
    <w:abstractNumId w:val="26"/>
  </w:num>
  <w:num w:numId="30" w16cid:durableId="1762407624">
    <w:abstractNumId w:val="18"/>
  </w:num>
  <w:num w:numId="31" w16cid:durableId="2131585832">
    <w:abstractNumId w:val="8"/>
  </w:num>
  <w:num w:numId="32" w16cid:durableId="1328632228">
    <w:abstractNumId w:val="11"/>
  </w:num>
  <w:num w:numId="33" w16cid:durableId="1548293934">
    <w:abstractNumId w:val="24"/>
  </w:num>
  <w:num w:numId="34" w16cid:durableId="37778348">
    <w:abstractNumId w:val="16"/>
  </w:num>
  <w:num w:numId="35" w16cid:durableId="69237396">
    <w:abstractNumId w:val="28"/>
  </w:num>
  <w:num w:numId="36" w16cid:durableId="240413607">
    <w:abstractNumId w:val="3"/>
  </w:num>
  <w:num w:numId="37" w16cid:durableId="1482379615">
    <w:abstractNumId w:val="31"/>
  </w:num>
  <w:num w:numId="38" w16cid:durableId="942541303">
    <w:abstractNumId w:val="37"/>
  </w:num>
  <w:num w:numId="39" w16cid:durableId="1923181651">
    <w:abstractNumId w:val="10"/>
  </w:num>
  <w:num w:numId="40" w16cid:durableId="343822883">
    <w:abstractNumId w:val="35"/>
  </w:num>
  <w:num w:numId="41" w16cid:durableId="1126041261">
    <w:abstractNumId w:val="9"/>
  </w:num>
  <w:num w:numId="42" w16cid:durableId="876160016">
    <w:abstractNumId w:val="29"/>
  </w:num>
  <w:num w:numId="43" w16cid:durableId="1494506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7D"/>
    <w:rsid w:val="00033367"/>
    <w:rsid w:val="0003403A"/>
    <w:rsid w:val="000416A6"/>
    <w:rsid w:val="00041727"/>
    <w:rsid w:val="00060669"/>
    <w:rsid w:val="00071EF2"/>
    <w:rsid w:val="00075EF3"/>
    <w:rsid w:val="00083C34"/>
    <w:rsid w:val="00083F19"/>
    <w:rsid w:val="000931E3"/>
    <w:rsid w:val="000A0965"/>
    <w:rsid w:val="000B75E3"/>
    <w:rsid w:val="000C6B4F"/>
    <w:rsid w:val="000F4023"/>
    <w:rsid w:val="00111B2A"/>
    <w:rsid w:val="00190EA9"/>
    <w:rsid w:val="001A7BB3"/>
    <w:rsid w:val="001D3FDC"/>
    <w:rsid w:val="001F02EA"/>
    <w:rsid w:val="001F5EE1"/>
    <w:rsid w:val="00201765"/>
    <w:rsid w:val="00205142"/>
    <w:rsid w:val="00216765"/>
    <w:rsid w:val="0026698D"/>
    <w:rsid w:val="002808CD"/>
    <w:rsid w:val="002A25B3"/>
    <w:rsid w:val="002D2784"/>
    <w:rsid w:val="00325143"/>
    <w:rsid w:val="0033240B"/>
    <w:rsid w:val="003B5F75"/>
    <w:rsid w:val="003C37BE"/>
    <w:rsid w:val="003F7C69"/>
    <w:rsid w:val="00406AE2"/>
    <w:rsid w:val="00461182"/>
    <w:rsid w:val="00461E8C"/>
    <w:rsid w:val="00476000"/>
    <w:rsid w:val="004878C7"/>
    <w:rsid w:val="004A04D8"/>
    <w:rsid w:val="004B1FEE"/>
    <w:rsid w:val="004B2C94"/>
    <w:rsid w:val="004C04C0"/>
    <w:rsid w:val="004C1386"/>
    <w:rsid w:val="004D05D1"/>
    <w:rsid w:val="004D1091"/>
    <w:rsid w:val="004E684D"/>
    <w:rsid w:val="004F0EEA"/>
    <w:rsid w:val="0052588F"/>
    <w:rsid w:val="0055003D"/>
    <w:rsid w:val="005634C1"/>
    <w:rsid w:val="005670B4"/>
    <w:rsid w:val="005677BE"/>
    <w:rsid w:val="00576EF6"/>
    <w:rsid w:val="00581CA0"/>
    <w:rsid w:val="00582BA5"/>
    <w:rsid w:val="00593334"/>
    <w:rsid w:val="005C4342"/>
    <w:rsid w:val="00600B21"/>
    <w:rsid w:val="00605F7C"/>
    <w:rsid w:val="006072AF"/>
    <w:rsid w:val="00632C7A"/>
    <w:rsid w:val="00653059"/>
    <w:rsid w:val="006847B8"/>
    <w:rsid w:val="00691179"/>
    <w:rsid w:val="00693E11"/>
    <w:rsid w:val="006A5C36"/>
    <w:rsid w:val="006D414D"/>
    <w:rsid w:val="006F14A4"/>
    <w:rsid w:val="006F7AD8"/>
    <w:rsid w:val="007006AF"/>
    <w:rsid w:val="00742208"/>
    <w:rsid w:val="007554D8"/>
    <w:rsid w:val="00755609"/>
    <w:rsid w:val="0076316E"/>
    <w:rsid w:val="00765BFD"/>
    <w:rsid w:val="00773B3B"/>
    <w:rsid w:val="0079237F"/>
    <w:rsid w:val="007C3CEE"/>
    <w:rsid w:val="00801D49"/>
    <w:rsid w:val="008113A5"/>
    <w:rsid w:val="00832D24"/>
    <w:rsid w:val="00845C7D"/>
    <w:rsid w:val="008A3299"/>
    <w:rsid w:val="008E094D"/>
    <w:rsid w:val="00905D91"/>
    <w:rsid w:val="009511F7"/>
    <w:rsid w:val="00961763"/>
    <w:rsid w:val="00985E1D"/>
    <w:rsid w:val="009978D9"/>
    <w:rsid w:val="009C2F35"/>
    <w:rsid w:val="009C4A0D"/>
    <w:rsid w:val="009D6D6A"/>
    <w:rsid w:val="009F49C5"/>
    <w:rsid w:val="009F712E"/>
    <w:rsid w:val="00A247E5"/>
    <w:rsid w:val="00A40764"/>
    <w:rsid w:val="00A45B19"/>
    <w:rsid w:val="00A56836"/>
    <w:rsid w:val="00A6147F"/>
    <w:rsid w:val="00A86365"/>
    <w:rsid w:val="00AA15D7"/>
    <w:rsid w:val="00AC56D9"/>
    <w:rsid w:val="00AD092D"/>
    <w:rsid w:val="00AD3EBB"/>
    <w:rsid w:val="00AF327C"/>
    <w:rsid w:val="00B350F3"/>
    <w:rsid w:val="00B403E5"/>
    <w:rsid w:val="00B76475"/>
    <w:rsid w:val="00BF1CD1"/>
    <w:rsid w:val="00C12B7B"/>
    <w:rsid w:val="00C1490E"/>
    <w:rsid w:val="00C35B2E"/>
    <w:rsid w:val="00C41316"/>
    <w:rsid w:val="00C83AB7"/>
    <w:rsid w:val="00CB4CE8"/>
    <w:rsid w:val="00CC3961"/>
    <w:rsid w:val="00CD37A5"/>
    <w:rsid w:val="00D06B87"/>
    <w:rsid w:val="00D06F77"/>
    <w:rsid w:val="00D147DB"/>
    <w:rsid w:val="00D14F8B"/>
    <w:rsid w:val="00D33524"/>
    <w:rsid w:val="00D35869"/>
    <w:rsid w:val="00D4277B"/>
    <w:rsid w:val="00D46A21"/>
    <w:rsid w:val="00D471E6"/>
    <w:rsid w:val="00D50961"/>
    <w:rsid w:val="00D80446"/>
    <w:rsid w:val="00D91C2F"/>
    <w:rsid w:val="00DA2DFF"/>
    <w:rsid w:val="00DA41EF"/>
    <w:rsid w:val="00DD7DF5"/>
    <w:rsid w:val="00DE20D2"/>
    <w:rsid w:val="00DF353B"/>
    <w:rsid w:val="00E35D7A"/>
    <w:rsid w:val="00E57C66"/>
    <w:rsid w:val="00EC45CD"/>
    <w:rsid w:val="00EC7D93"/>
    <w:rsid w:val="00EE10AD"/>
    <w:rsid w:val="00F0689E"/>
    <w:rsid w:val="00F40EFF"/>
    <w:rsid w:val="00F44E53"/>
    <w:rsid w:val="00F5136B"/>
    <w:rsid w:val="00F55788"/>
    <w:rsid w:val="00F57D3F"/>
    <w:rsid w:val="00F67636"/>
    <w:rsid w:val="00F81A41"/>
    <w:rsid w:val="00F8248C"/>
    <w:rsid w:val="00F8739C"/>
    <w:rsid w:val="00F922E9"/>
    <w:rsid w:val="00FA2B5D"/>
    <w:rsid w:val="00FA321D"/>
    <w:rsid w:val="00FB7E25"/>
    <w:rsid w:val="00FD34ED"/>
    <w:rsid w:val="00FD5B6B"/>
    <w:rsid w:val="00FE273F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9FBF0"/>
  <w15:docId w15:val="{D2030121-5236-4607-8D9D-1B67E7F0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FCEE3-0895-47B2-9BC3-FF4257DD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 Калинина</cp:lastModifiedBy>
  <cp:revision>15</cp:revision>
  <cp:lastPrinted>2019-03-11T04:50:00Z</cp:lastPrinted>
  <dcterms:created xsi:type="dcterms:W3CDTF">2019-03-28T18:56:00Z</dcterms:created>
  <dcterms:modified xsi:type="dcterms:W3CDTF">2023-11-07T20:02:00Z</dcterms:modified>
</cp:coreProperties>
</file>