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D052A" w:rsidRPr="00CD052A" w:rsidRDefault="00992662" w:rsidP="00CD052A">
      <w:pPr>
        <w:ind w:firstLine="709"/>
        <w:jc w:val="center"/>
        <w:rPr>
          <w:sz w:val="28"/>
        </w:rPr>
      </w:pPr>
      <w:r w:rsidRPr="00992662">
        <w:rPr>
          <w:sz w:val="28"/>
        </w:rPr>
        <w:t>Здоровье и окружающая среда</w:t>
      </w: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  <w:r w:rsidRPr="00CD052A">
        <w:rPr>
          <w:sz w:val="28"/>
        </w:rPr>
        <w:t xml:space="preserve">по специальности </w:t>
      </w: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  <w:r w:rsidRPr="00CD052A">
        <w:rPr>
          <w:sz w:val="28"/>
        </w:rPr>
        <w:t>32.04.01 Общественное здравоохранение</w:t>
      </w: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  <w:r w:rsidRPr="00CD052A">
        <w:rPr>
          <w:sz w:val="28"/>
        </w:rPr>
        <w:t>Является частью основной профессиональной образовательной программы высшего образования по специальности 32.04.01 Общественное здравоохранение</w:t>
      </w:r>
    </w:p>
    <w:p w:rsidR="00CD052A" w:rsidRPr="00CD052A" w:rsidRDefault="00CD052A" w:rsidP="00CD052A">
      <w:pPr>
        <w:ind w:firstLine="709"/>
        <w:jc w:val="center"/>
        <w:rPr>
          <w:sz w:val="28"/>
        </w:rPr>
      </w:pPr>
      <w:r w:rsidRPr="00CD052A">
        <w:rPr>
          <w:sz w:val="28"/>
        </w:rPr>
        <w:t xml:space="preserve">утвержденной ученым советом ФГБОУ ВО </w:t>
      </w:r>
      <w:proofErr w:type="spellStart"/>
      <w:r w:rsidRPr="00CD052A">
        <w:rPr>
          <w:sz w:val="28"/>
        </w:rPr>
        <w:t>ОрГМУ</w:t>
      </w:r>
      <w:proofErr w:type="spellEnd"/>
      <w:r w:rsidRPr="00CD052A">
        <w:rPr>
          <w:sz w:val="28"/>
        </w:rPr>
        <w:t xml:space="preserve"> Минздрава России</w:t>
      </w: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  <w:r w:rsidRPr="00CD052A">
        <w:rPr>
          <w:sz w:val="28"/>
        </w:rPr>
        <w:t>протокол № _</w:t>
      </w:r>
      <w:r w:rsidR="008B6914">
        <w:rPr>
          <w:sz w:val="28"/>
        </w:rPr>
        <w:t>______________</w:t>
      </w: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CD052A" w:rsidRPr="00CD052A" w:rsidRDefault="00CD052A" w:rsidP="00CD052A">
      <w:pPr>
        <w:ind w:firstLine="709"/>
        <w:jc w:val="center"/>
        <w:rPr>
          <w:sz w:val="28"/>
        </w:rPr>
      </w:pPr>
    </w:p>
    <w:p w:rsidR="004B2C94" w:rsidRPr="004B2C94" w:rsidRDefault="00CD052A" w:rsidP="00CD052A">
      <w:pPr>
        <w:ind w:firstLine="709"/>
        <w:jc w:val="center"/>
        <w:rPr>
          <w:sz w:val="28"/>
        </w:rPr>
      </w:pPr>
      <w:r w:rsidRPr="00CD052A">
        <w:rPr>
          <w:sz w:val="28"/>
        </w:rPr>
        <w:t>Оренбург</w:t>
      </w:r>
    </w:p>
    <w:p w:rsidR="00CD052A" w:rsidRDefault="00CD052A">
      <w:pPr>
        <w:rPr>
          <w:sz w:val="28"/>
        </w:rPr>
      </w:pPr>
      <w:r>
        <w:rPr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2B0D22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1A26D9">
        <w:rPr>
          <w:b/>
          <w:sz w:val="28"/>
        </w:rPr>
        <w:t>Цель самостоятельной работы</w:t>
      </w:r>
      <w:r w:rsidR="001A26D9">
        <w:rPr>
          <w:sz w:val="28"/>
        </w:rPr>
        <w:t>.</w:t>
      </w:r>
      <w:r>
        <w:rPr>
          <w:sz w:val="28"/>
        </w:rPr>
        <w:t xml:space="preserve"> </w:t>
      </w:r>
      <w:r w:rsidRPr="001A26D9">
        <w:rPr>
          <w:sz w:val="28"/>
        </w:rPr>
        <w:t>В результате выполнения самостоятельной работы по дисци</w:t>
      </w:r>
      <w:r w:rsidR="00F55788" w:rsidRPr="001A26D9">
        <w:rPr>
          <w:sz w:val="28"/>
        </w:rPr>
        <w:t>плине</w:t>
      </w:r>
      <w:r w:rsidRPr="001A26D9">
        <w:rPr>
          <w:sz w:val="28"/>
        </w:rPr>
        <w:t xml:space="preserve"> обучающийся должен: овладеть </w:t>
      </w:r>
      <w:r w:rsidR="001A26D9" w:rsidRPr="001A26D9">
        <w:rPr>
          <w:sz w:val="28"/>
        </w:rPr>
        <w:t>знаниями теоретических и практических основ оценк</w:t>
      </w:r>
      <w:r w:rsidR="001A26D9">
        <w:rPr>
          <w:sz w:val="28"/>
        </w:rPr>
        <w:t>и</w:t>
      </w:r>
      <w:r w:rsidR="001A26D9" w:rsidRPr="001A26D9">
        <w:rPr>
          <w:sz w:val="28"/>
        </w:rPr>
        <w:t xml:space="preserve"> влияния радиационного фактора на здоровье человека, в том числе, по обеспечению радиационной безопасности работников различных профессиональных групп и населения в целом, по профилактике заболеваний, вызванных воздействием ионизирующих излучений, а также по предупреждению загрязнения окружающей среды</w:t>
      </w:r>
      <w:r w:rsidR="001A26D9">
        <w:rPr>
          <w:sz w:val="28"/>
        </w:rPr>
        <w:t>,</w:t>
      </w:r>
      <w:r w:rsidRPr="001A26D9">
        <w:rPr>
          <w:sz w:val="28"/>
        </w:rPr>
        <w:t xml:space="preserve"> сформировать умения</w:t>
      </w:r>
      <w:r w:rsidR="001A26D9">
        <w:rPr>
          <w:sz w:val="28"/>
        </w:rPr>
        <w:t xml:space="preserve"> по оценке радиационного фактора, овладеть метод</w:t>
      </w:r>
      <w:r w:rsidR="001A26D9" w:rsidRPr="001A26D9">
        <w:rPr>
          <w:sz w:val="28"/>
        </w:rPr>
        <w:t>ами радиационного контроля за объектами окружающей среды (воздух, почва, продукты питания, поверхности) и условиями труда при работе с источниками ионизирующих излучений</w:t>
      </w:r>
      <w:r w:rsidR="001A26D9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1239FA">
        <w:rPr>
          <w:sz w:val="28"/>
        </w:rPr>
        <w:t>, раздел 8 «</w:t>
      </w:r>
      <w:bookmarkStart w:id="0" w:name="_GoBack"/>
      <w:bookmarkEnd w:id="0"/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425"/>
        <w:gridCol w:w="2130"/>
        <w:gridCol w:w="2122"/>
      </w:tblGrid>
      <w:tr w:rsidR="006F14A4" w:rsidRPr="00033367" w:rsidTr="001239FA">
        <w:tc>
          <w:tcPr>
            <w:tcW w:w="575" w:type="dxa"/>
            <w:shd w:val="clear" w:color="auto" w:fill="auto"/>
          </w:tcPr>
          <w:p w:rsidR="006F14A4" w:rsidRPr="00033367" w:rsidRDefault="006F14A4" w:rsidP="002B0D22">
            <w:pPr>
              <w:ind w:left="-404" w:right="-102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2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1239FA">
        <w:tc>
          <w:tcPr>
            <w:tcW w:w="575" w:type="dxa"/>
            <w:shd w:val="clear" w:color="auto" w:fill="auto"/>
          </w:tcPr>
          <w:p w:rsidR="006F14A4" w:rsidRPr="00033367" w:rsidRDefault="006F14A4" w:rsidP="002B0D22">
            <w:pPr>
              <w:ind w:left="-404" w:right="-102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239FA">
        <w:tc>
          <w:tcPr>
            <w:tcW w:w="10201" w:type="dxa"/>
            <w:gridSpan w:val="5"/>
            <w:shd w:val="clear" w:color="auto" w:fill="auto"/>
          </w:tcPr>
          <w:p w:rsidR="009978D9" w:rsidRPr="009978D9" w:rsidRDefault="009978D9" w:rsidP="002B0D22">
            <w:pPr>
              <w:ind w:left="-404" w:right="-102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1239FA">
        <w:tc>
          <w:tcPr>
            <w:tcW w:w="575" w:type="dxa"/>
            <w:shd w:val="clear" w:color="auto" w:fill="auto"/>
          </w:tcPr>
          <w:p w:rsidR="009978D9" w:rsidRPr="00033367" w:rsidRDefault="009978D9" w:rsidP="002B0D22">
            <w:pPr>
              <w:ind w:left="-404" w:right="-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693E11" w:rsidRDefault="00647BC6" w:rsidP="00CD052A">
            <w:pPr>
              <w:jc w:val="center"/>
              <w:rPr>
                <w:sz w:val="32"/>
                <w:vertAlign w:val="superscript"/>
              </w:rPr>
            </w:pPr>
            <w:r w:rsidRPr="00647BC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Темы </w:t>
            </w:r>
            <w:r w:rsidR="00CD052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рефератов </w:t>
            </w:r>
            <w:r w:rsidR="00CD052A" w:rsidRPr="00647BC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представлены</w:t>
            </w:r>
            <w:r w:rsidRPr="00647BC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в разделе ФОС</w:t>
            </w:r>
          </w:p>
        </w:tc>
        <w:tc>
          <w:tcPr>
            <w:tcW w:w="2425" w:type="dxa"/>
            <w:shd w:val="clear" w:color="auto" w:fill="auto"/>
          </w:tcPr>
          <w:p w:rsidR="009978D9" w:rsidRPr="00033367" w:rsidRDefault="001A26D9" w:rsidP="00CD052A">
            <w:pPr>
              <w:jc w:val="center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подготовка </w:t>
            </w:r>
            <w:r w:rsidR="00CD052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реферат</w:t>
            </w:r>
          </w:p>
        </w:tc>
        <w:tc>
          <w:tcPr>
            <w:tcW w:w="2130" w:type="dxa"/>
            <w:shd w:val="clear" w:color="auto" w:fill="auto"/>
          </w:tcPr>
          <w:p w:rsidR="009978D9" w:rsidRPr="00033367" w:rsidRDefault="00CD052A" w:rsidP="001A26D9">
            <w:pPr>
              <w:jc w:val="center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реферат</w:t>
            </w:r>
          </w:p>
        </w:tc>
        <w:tc>
          <w:tcPr>
            <w:tcW w:w="2122" w:type="dxa"/>
            <w:shd w:val="clear" w:color="auto" w:fill="auto"/>
          </w:tcPr>
          <w:p w:rsidR="009978D9" w:rsidRPr="00033367" w:rsidRDefault="001A26D9" w:rsidP="001A26D9">
            <w:pPr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внеаудиторная</w:t>
            </w:r>
          </w:p>
        </w:tc>
      </w:tr>
      <w:tr w:rsidR="009978D9" w:rsidRPr="00033367" w:rsidTr="001239FA">
        <w:tc>
          <w:tcPr>
            <w:tcW w:w="10201" w:type="dxa"/>
            <w:gridSpan w:val="5"/>
            <w:shd w:val="clear" w:color="auto" w:fill="auto"/>
          </w:tcPr>
          <w:p w:rsidR="009978D9" w:rsidRPr="009978D9" w:rsidRDefault="009978D9" w:rsidP="002B0D22">
            <w:pPr>
              <w:ind w:left="-404" w:right="-102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1239FA">
        <w:tc>
          <w:tcPr>
            <w:tcW w:w="575" w:type="dxa"/>
            <w:shd w:val="clear" w:color="auto" w:fill="auto"/>
          </w:tcPr>
          <w:p w:rsidR="009978D9" w:rsidRPr="00033367" w:rsidRDefault="009978D9" w:rsidP="002B0D22">
            <w:pPr>
              <w:ind w:left="-404" w:right="-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033367" w:rsidRDefault="00693E11" w:rsidP="00730776">
            <w:pPr>
              <w:jc w:val="both"/>
              <w:rPr>
                <w:sz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Модуль</w:t>
            </w:r>
            <w:r w:rsidR="00E460B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1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«</w:t>
            </w:r>
            <w:r w:rsidR="002B0D22" w:rsidRPr="002B0D22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Здоровье и окружающая среда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2425" w:type="dxa"/>
            <w:shd w:val="clear" w:color="auto" w:fill="auto"/>
          </w:tcPr>
          <w:p w:rsidR="009978D9" w:rsidRPr="00033367" w:rsidRDefault="001A26D9" w:rsidP="002B0D22">
            <w:pPr>
              <w:ind w:right="38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ознакомление с нормативными документами</w:t>
            </w:r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, </w:t>
            </w:r>
            <w:r w:rsidR="00CC1907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</w:t>
            </w:r>
          </w:p>
        </w:tc>
        <w:tc>
          <w:tcPr>
            <w:tcW w:w="2130" w:type="dxa"/>
            <w:shd w:val="clear" w:color="auto" w:fill="auto"/>
          </w:tcPr>
          <w:p w:rsidR="009978D9" w:rsidRPr="00033367" w:rsidRDefault="001A26D9" w:rsidP="00730776">
            <w:pPr>
              <w:ind w:right="-293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2" w:type="dxa"/>
            <w:shd w:val="clear" w:color="auto" w:fill="auto"/>
          </w:tcPr>
          <w:p w:rsidR="009978D9" w:rsidRPr="00033367" w:rsidRDefault="001A26D9" w:rsidP="002B0D22">
            <w:pPr>
              <w:jc w:val="both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 информационной эл</w:t>
            </w:r>
            <w:r w:rsid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ектронно-образовательной среде </w:t>
            </w:r>
          </w:p>
        </w:tc>
      </w:tr>
      <w:tr w:rsidR="00E460B5" w:rsidRPr="00033367" w:rsidTr="001239FA">
        <w:tc>
          <w:tcPr>
            <w:tcW w:w="10201" w:type="dxa"/>
            <w:gridSpan w:val="5"/>
            <w:shd w:val="clear" w:color="auto" w:fill="auto"/>
          </w:tcPr>
          <w:p w:rsidR="001915E5" w:rsidRDefault="001915E5" w:rsidP="002B0D22">
            <w:pPr>
              <w:ind w:left="-404" w:right="-102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460B5" w:rsidRPr="009978D9" w:rsidRDefault="001915E5" w:rsidP="002B0D22">
            <w:pPr>
              <w:ind w:left="-120" w:right="-102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Pr="001915E5">
              <w:rPr>
                <w:i/>
                <w:sz w:val="28"/>
              </w:rPr>
              <w:t xml:space="preserve"> 1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FE4FBF">
              <w:rPr>
                <w:sz w:val="28"/>
              </w:rPr>
              <w:t>Здоровье и окружа</w:t>
            </w:r>
            <w:r w:rsidR="00FE4FBF" w:rsidRPr="00FE4FBF">
              <w:rPr>
                <w:sz w:val="28"/>
              </w:rPr>
              <w:t>ющая среда</w:t>
            </w:r>
            <w:r w:rsidRPr="00033367">
              <w:rPr>
                <w:sz w:val="28"/>
              </w:rPr>
              <w:t>»</w:t>
            </w:r>
          </w:p>
        </w:tc>
      </w:tr>
      <w:tr w:rsidR="00BC11F0" w:rsidRPr="00033367" w:rsidTr="001239FA">
        <w:tc>
          <w:tcPr>
            <w:tcW w:w="575" w:type="dxa"/>
            <w:shd w:val="clear" w:color="auto" w:fill="auto"/>
          </w:tcPr>
          <w:p w:rsidR="00BC11F0" w:rsidRPr="00033367" w:rsidRDefault="00BC11F0" w:rsidP="002B0D22">
            <w:pPr>
              <w:ind w:left="-404" w:right="-102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FE4FBF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1. </w:t>
            </w:r>
            <w:r w:rsidR="00FE4FBF" w:rsidRPr="001239FA">
              <w:rPr>
                <w:rFonts w:cs="+mn-cs"/>
                <w:iCs/>
                <w:color w:val="000000"/>
                <w:kern w:val="24"/>
                <w:sz w:val="28"/>
                <w:szCs w:val="28"/>
              </w:rPr>
              <w:t>«Законодательные основы формирования здорового образа»</w:t>
            </w:r>
            <w:r w:rsidR="00FE4FBF" w:rsidRPr="001239F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FE4FBF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425" w:type="dxa"/>
            <w:shd w:val="clear" w:color="auto" w:fill="auto"/>
          </w:tcPr>
          <w:p w:rsidR="00BC11F0" w:rsidRPr="00730776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2" w:type="dxa"/>
            <w:shd w:val="clear" w:color="auto" w:fill="auto"/>
          </w:tcPr>
          <w:p w:rsidR="00BC11F0" w:rsidRDefault="00BC11F0" w:rsidP="001239FA">
            <w:pPr>
              <w:pStyle w:val="a9"/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22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:rsidTr="001239FA">
        <w:tc>
          <w:tcPr>
            <w:tcW w:w="575" w:type="dxa"/>
            <w:shd w:val="clear" w:color="auto" w:fill="auto"/>
          </w:tcPr>
          <w:p w:rsidR="00BC11F0" w:rsidRPr="00033367" w:rsidRDefault="002B0D22" w:rsidP="002B0D22">
            <w:pPr>
              <w:ind w:left="-404" w:right="-10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FE4FBF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2. </w:t>
            </w:r>
            <w:r w:rsidR="00FE4FBF" w:rsidRPr="001239FA">
              <w:rPr>
                <w:rFonts w:cs="+mn-cs"/>
                <w:iCs/>
                <w:color w:val="000000"/>
                <w:kern w:val="24"/>
                <w:sz w:val="28"/>
                <w:szCs w:val="28"/>
              </w:rPr>
              <w:t>«Современные аспекты организации занятий физическим воспитанием, физической культурой»</w:t>
            </w:r>
            <w:r w:rsidR="00FE4FBF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="00FE4FBF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425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2" w:type="dxa"/>
            <w:shd w:val="clear" w:color="auto" w:fill="auto"/>
          </w:tcPr>
          <w:p w:rsidR="00BC11F0" w:rsidRDefault="00BC11F0" w:rsidP="001239FA">
            <w:pPr>
              <w:pStyle w:val="a9"/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22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:rsidTr="001239FA">
        <w:tc>
          <w:tcPr>
            <w:tcW w:w="575" w:type="dxa"/>
            <w:shd w:val="clear" w:color="auto" w:fill="auto"/>
          </w:tcPr>
          <w:p w:rsidR="00BC11F0" w:rsidRPr="00033367" w:rsidRDefault="002B0D22" w:rsidP="002B0D22">
            <w:pPr>
              <w:ind w:left="-404" w:right="-10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3. </w:t>
            </w:r>
            <w:r w:rsidR="001239FA" w:rsidRPr="001239FA">
              <w:rPr>
                <w:rFonts w:cs="+mn-cs"/>
                <w:iCs/>
                <w:color w:val="000000"/>
                <w:kern w:val="24"/>
                <w:sz w:val="28"/>
                <w:szCs w:val="28"/>
              </w:rPr>
              <w:t>«Общие принципы построения профилактических программ»</w:t>
            </w:r>
            <w:r w:rsidR="001239FA" w:rsidRPr="001239F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1239FA" w:rsidRPr="001239F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425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2" w:type="dxa"/>
            <w:shd w:val="clear" w:color="auto" w:fill="auto"/>
          </w:tcPr>
          <w:p w:rsidR="00BC11F0" w:rsidRDefault="00BC11F0" w:rsidP="001239FA">
            <w:pPr>
              <w:pStyle w:val="a9"/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22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239FA" w:rsidRPr="00033367" w:rsidTr="001239FA">
        <w:tc>
          <w:tcPr>
            <w:tcW w:w="575" w:type="dxa"/>
            <w:shd w:val="clear" w:color="auto" w:fill="auto"/>
          </w:tcPr>
          <w:p w:rsidR="001239FA" w:rsidRPr="00033367" w:rsidRDefault="001239FA" w:rsidP="001239FA">
            <w:pPr>
              <w:ind w:left="-404" w:right="-10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1239FA" w:rsidRPr="00556C14" w:rsidRDefault="001239FA" w:rsidP="001239FA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556C14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Pr="00263E96">
              <w:rPr>
                <w:color w:val="000000"/>
                <w:sz w:val="28"/>
                <w:szCs w:val="28"/>
              </w:rPr>
              <w:t>Формирование здорового образа жизни</w:t>
            </w:r>
            <w:r>
              <w:rPr>
                <w:color w:val="000000"/>
                <w:sz w:val="28"/>
                <w:szCs w:val="28"/>
              </w:rPr>
              <w:t xml:space="preserve"> населения без вредных привычек»</w:t>
            </w:r>
            <w:r w:rsidRPr="00556C14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(см. ФОС)</w:t>
            </w:r>
          </w:p>
        </w:tc>
        <w:tc>
          <w:tcPr>
            <w:tcW w:w="2425" w:type="dxa"/>
            <w:shd w:val="clear" w:color="auto" w:fill="auto"/>
          </w:tcPr>
          <w:p w:rsidR="001239FA" w:rsidRPr="001239FA" w:rsidRDefault="001239FA" w:rsidP="001239FA">
            <w:pPr>
              <w:jc w:val="both"/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1239FA"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работа над учебным материалом (учебника, первоисточника, дополнительной литературы) </w:t>
            </w:r>
          </w:p>
        </w:tc>
        <w:tc>
          <w:tcPr>
            <w:tcW w:w="2130" w:type="dxa"/>
            <w:shd w:val="clear" w:color="auto" w:fill="auto"/>
          </w:tcPr>
          <w:p w:rsidR="001239FA" w:rsidRDefault="001239FA" w:rsidP="001239FA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793C49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Подготовка рефератов(проектов)</w:t>
            </w:r>
          </w:p>
        </w:tc>
        <w:tc>
          <w:tcPr>
            <w:tcW w:w="2122" w:type="dxa"/>
            <w:shd w:val="clear" w:color="auto" w:fill="auto"/>
          </w:tcPr>
          <w:p w:rsidR="001239FA" w:rsidRDefault="001239FA" w:rsidP="001239FA">
            <w:pPr>
              <w:pStyle w:val="a9"/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22"/>
              <w:jc w:val="center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793C49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внеаудиторная КСР</w:t>
            </w:r>
          </w:p>
        </w:tc>
      </w:tr>
      <w:tr w:rsidR="001239FA" w:rsidRPr="00033367" w:rsidTr="001239FA">
        <w:tc>
          <w:tcPr>
            <w:tcW w:w="575" w:type="dxa"/>
            <w:shd w:val="clear" w:color="auto" w:fill="auto"/>
          </w:tcPr>
          <w:p w:rsidR="001239FA" w:rsidRPr="00033367" w:rsidRDefault="001239FA" w:rsidP="001239FA">
            <w:pPr>
              <w:ind w:left="-404" w:right="-10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49" w:type="dxa"/>
            <w:shd w:val="clear" w:color="auto" w:fill="auto"/>
          </w:tcPr>
          <w:p w:rsidR="001239FA" w:rsidRPr="001915E5" w:rsidRDefault="001239FA" w:rsidP="001239FA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93C4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5</w:t>
            </w:r>
            <w:r w:rsidRPr="00793C4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1239FA">
              <w:rPr>
                <w:rFonts w:cs="+mn-cs"/>
                <w:iCs/>
                <w:color w:val="000000"/>
                <w:kern w:val="24"/>
                <w:sz w:val="28"/>
                <w:szCs w:val="28"/>
              </w:rPr>
              <w:t>«Гигиена одежды и обуви, их значение для здоро</w:t>
            </w:r>
            <w:r>
              <w:rPr>
                <w:rFonts w:cs="+mn-cs"/>
                <w:iCs/>
                <w:color w:val="000000"/>
                <w:kern w:val="24"/>
                <w:sz w:val="28"/>
                <w:szCs w:val="28"/>
              </w:rPr>
              <w:t>вья. Методы исследования физиче</w:t>
            </w:r>
            <w:r w:rsidRPr="001239FA">
              <w:rPr>
                <w:rFonts w:cs="+mn-cs"/>
                <w:iCs/>
                <w:color w:val="000000"/>
                <w:kern w:val="24"/>
                <w:sz w:val="28"/>
                <w:szCs w:val="28"/>
              </w:rPr>
              <w:t>ских и гигиенических показателей тканей одежды» (см. ФОС)»</w:t>
            </w:r>
          </w:p>
        </w:tc>
        <w:tc>
          <w:tcPr>
            <w:tcW w:w="2425" w:type="dxa"/>
            <w:shd w:val="clear" w:color="auto" w:fill="auto"/>
          </w:tcPr>
          <w:p w:rsidR="001239FA" w:rsidRPr="001239FA" w:rsidRDefault="001239FA" w:rsidP="001239FA">
            <w:pPr>
              <w:jc w:val="both"/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1239FA"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(учебная литература)</w:t>
            </w:r>
          </w:p>
        </w:tc>
        <w:tc>
          <w:tcPr>
            <w:tcW w:w="2130" w:type="dxa"/>
            <w:shd w:val="clear" w:color="auto" w:fill="auto"/>
          </w:tcPr>
          <w:p w:rsidR="001239FA" w:rsidRPr="001239FA" w:rsidRDefault="001239FA" w:rsidP="001239FA">
            <w:pPr>
              <w:jc w:val="both"/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1239FA"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2" w:type="dxa"/>
            <w:shd w:val="clear" w:color="auto" w:fill="auto"/>
          </w:tcPr>
          <w:p w:rsidR="001239FA" w:rsidRDefault="001239FA" w:rsidP="001239FA">
            <w:pPr>
              <w:pStyle w:val="a9"/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22"/>
              <w:jc w:val="center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793C49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внеаудиторная КСР</w:t>
            </w:r>
          </w:p>
        </w:tc>
      </w:tr>
      <w:tr w:rsidR="001239FA" w:rsidRPr="00033367" w:rsidTr="001239FA">
        <w:tc>
          <w:tcPr>
            <w:tcW w:w="575" w:type="dxa"/>
            <w:shd w:val="clear" w:color="auto" w:fill="auto"/>
          </w:tcPr>
          <w:p w:rsidR="001239FA" w:rsidRDefault="001239FA" w:rsidP="001239FA">
            <w:pPr>
              <w:ind w:left="-404" w:right="-10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949" w:type="dxa"/>
            <w:shd w:val="clear" w:color="auto" w:fill="auto"/>
          </w:tcPr>
          <w:p w:rsidR="001239FA" w:rsidRPr="00693607" w:rsidRDefault="001239FA" w:rsidP="001239FA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«Проведение промежуточной аттестации в виде зачета» (см. ФОС)</w:t>
            </w:r>
          </w:p>
        </w:tc>
        <w:tc>
          <w:tcPr>
            <w:tcW w:w="2425" w:type="dxa"/>
            <w:shd w:val="clear" w:color="auto" w:fill="auto"/>
          </w:tcPr>
          <w:p w:rsidR="001239FA" w:rsidRPr="001239FA" w:rsidRDefault="001239FA" w:rsidP="001239FA">
            <w:pPr>
              <w:jc w:val="both"/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1239FA"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1239FA" w:rsidRPr="001239FA" w:rsidRDefault="001239FA" w:rsidP="001239FA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1239FA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1239FA">
              <w:rPr>
                <w:i/>
                <w:color w:val="000000" w:themeColor="text1"/>
              </w:rPr>
              <w:t xml:space="preserve"> </w:t>
            </w:r>
            <w:r w:rsidRPr="001239FA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2" w:type="dxa"/>
            <w:shd w:val="clear" w:color="auto" w:fill="auto"/>
          </w:tcPr>
          <w:p w:rsidR="001239FA" w:rsidRPr="001239FA" w:rsidRDefault="001239FA" w:rsidP="001239FA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1239FA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</w:tbl>
    <w:p w:rsidR="00582BA5" w:rsidRPr="00582BA5" w:rsidRDefault="00582BA5" w:rsidP="00F5136B">
      <w:pPr>
        <w:ind w:firstLine="709"/>
        <w:jc w:val="both"/>
        <w:rPr>
          <w:sz w:val="28"/>
          <w:vertAlign w:val="superscript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B04EF" w:rsidRPr="009C4A0D" w:rsidRDefault="002B04EF" w:rsidP="002B04EF">
      <w:pPr>
        <w:ind w:firstLine="709"/>
        <w:jc w:val="both"/>
        <w:rPr>
          <w:color w:val="000000"/>
          <w:sz w:val="10"/>
          <w:szCs w:val="28"/>
        </w:rPr>
      </w:pP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B04EF" w:rsidRPr="006E062D" w:rsidRDefault="002B04EF" w:rsidP="002B04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B04EF" w:rsidRPr="006E062D" w:rsidRDefault="002B04EF" w:rsidP="002B04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20F97" wp14:editId="72CCFA8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0B4C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32139" wp14:editId="3F0E530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7D7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</w:t>
      </w:r>
      <w:r w:rsidRPr="006E062D">
        <w:rPr>
          <w:color w:val="000000"/>
          <w:sz w:val="28"/>
          <w:szCs w:val="28"/>
        </w:rPr>
        <w:lastRenderedPageBreak/>
        <w:t>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B04EF" w:rsidRDefault="002B04EF" w:rsidP="002B04EF">
      <w:pPr>
        <w:ind w:firstLine="709"/>
        <w:jc w:val="both"/>
        <w:rPr>
          <w:sz w:val="28"/>
        </w:rPr>
      </w:pP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B04EF" w:rsidRPr="00460AEA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B04EF" w:rsidRPr="00C35B2E" w:rsidRDefault="002B04EF" w:rsidP="002B04EF">
      <w:pPr>
        <w:ind w:firstLine="709"/>
        <w:jc w:val="both"/>
        <w:rPr>
          <w:sz w:val="8"/>
          <w:szCs w:val="28"/>
        </w:rPr>
      </w:pPr>
    </w:p>
    <w:p w:rsidR="002B04EF" w:rsidRPr="00821EB4" w:rsidRDefault="002B04EF" w:rsidP="002B04E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2B04EF" w:rsidRDefault="002B04EF" w:rsidP="002B04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B04EF" w:rsidRDefault="002B04EF" w:rsidP="002B04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B04EF" w:rsidRPr="00981A6C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B04EF" w:rsidRPr="009F413C" w:rsidRDefault="002B04EF" w:rsidP="002B04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B04EF" w:rsidRPr="009F413C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B04EF" w:rsidRPr="009F413C" w:rsidRDefault="002B04EF" w:rsidP="002B04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B04EF" w:rsidRPr="009F413C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2B04EF" w:rsidRPr="00BD5AFD" w:rsidRDefault="002B04EF" w:rsidP="002B04EF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  <w:r w:rsidR="00CD052A">
        <w:rPr>
          <w:b/>
          <w:bCs/>
          <w:sz w:val="28"/>
          <w:szCs w:val="28"/>
        </w:rPr>
        <w:t xml:space="preserve"> 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2B04EF" w:rsidRPr="00BD5AFD" w:rsidRDefault="002B04EF" w:rsidP="002B04EF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2B04EF" w:rsidRPr="00BD5AFD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2B04EF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2B04EF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2B04EF" w:rsidRPr="00BD5AFD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2B04EF" w:rsidRDefault="002B04EF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2B04EF" w:rsidP="00F922E9">
      <w:pPr>
        <w:ind w:firstLine="709"/>
        <w:jc w:val="both"/>
        <w:outlineLvl w:val="0"/>
        <w:rPr>
          <w:sz w:val="28"/>
        </w:rPr>
      </w:pPr>
      <w:r>
        <w:rPr>
          <w:b/>
          <w:i/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E5" w:rsidRDefault="00FF21E5" w:rsidP="00FD5B6B">
      <w:r>
        <w:separator/>
      </w:r>
    </w:p>
  </w:endnote>
  <w:endnote w:type="continuationSeparator" w:id="0">
    <w:p w:rsidR="00FF21E5" w:rsidRDefault="00FF21E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F0" w:rsidRDefault="00BC11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239FA">
      <w:rPr>
        <w:noProof/>
      </w:rPr>
      <w:t>8</w:t>
    </w:r>
    <w:r>
      <w:fldChar w:fldCharType="end"/>
    </w:r>
  </w:p>
  <w:p w:rsidR="00BC11F0" w:rsidRDefault="00BC11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E5" w:rsidRDefault="00FF21E5" w:rsidP="00FD5B6B">
      <w:r>
        <w:separator/>
      </w:r>
    </w:p>
  </w:footnote>
  <w:footnote w:type="continuationSeparator" w:id="0">
    <w:p w:rsidR="00FF21E5" w:rsidRDefault="00FF21E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239FA"/>
    <w:rsid w:val="001705EB"/>
    <w:rsid w:val="001915E5"/>
    <w:rsid w:val="001A26D9"/>
    <w:rsid w:val="001F5EE1"/>
    <w:rsid w:val="0026698D"/>
    <w:rsid w:val="002965BA"/>
    <w:rsid w:val="002B04EF"/>
    <w:rsid w:val="002B0D22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137DB"/>
    <w:rsid w:val="00647BC6"/>
    <w:rsid w:val="0066127F"/>
    <w:rsid w:val="0067015A"/>
    <w:rsid w:val="006847B8"/>
    <w:rsid w:val="00693E11"/>
    <w:rsid w:val="006F14A4"/>
    <w:rsid w:val="006F7AD8"/>
    <w:rsid w:val="00730776"/>
    <w:rsid w:val="00742208"/>
    <w:rsid w:val="00755609"/>
    <w:rsid w:val="0079237F"/>
    <w:rsid w:val="00793C49"/>
    <w:rsid w:val="008113A5"/>
    <w:rsid w:val="00832D24"/>
    <w:rsid w:val="00845C7D"/>
    <w:rsid w:val="008B6914"/>
    <w:rsid w:val="0090316A"/>
    <w:rsid w:val="009511F7"/>
    <w:rsid w:val="00985E1D"/>
    <w:rsid w:val="00992662"/>
    <w:rsid w:val="009978D9"/>
    <w:rsid w:val="009C2F35"/>
    <w:rsid w:val="009C4A0D"/>
    <w:rsid w:val="009F49C5"/>
    <w:rsid w:val="00AD3EBB"/>
    <w:rsid w:val="00AF327C"/>
    <w:rsid w:val="00B26683"/>
    <w:rsid w:val="00B350F3"/>
    <w:rsid w:val="00BC11F0"/>
    <w:rsid w:val="00BF1CD1"/>
    <w:rsid w:val="00C22B58"/>
    <w:rsid w:val="00C35B2E"/>
    <w:rsid w:val="00C83AB7"/>
    <w:rsid w:val="00CA0311"/>
    <w:rsid w:val="00CC1907"/>
    <w:rsid w:val="00CD052A"/>
    <w:rsid w:val="00D06B87"/>
    <w:rsid w:val="00D138E6"/>
    <w:rsid w:val="00D33524"/>
    <w:rsid w:val="00D35869"/>
    <w:rsid w:val="00D471E6"/>
    <w:rsid w:val="00E460B5"/>
    <w:rsid w:val="00E57C66"/>
    <w:rsid w:val="00E62DFE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E4FBF"/>
    <w:rsid w:val="00FF21E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C4E8D7"/>
  <w15:docId w15:val="{AA1DE2A5-F34A-48BD-B9B2-BFD78026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Сергей Перепелкин</cp:lastModifiedBy>
  <cp:revision>3</cp:revision>
  <dcterms:created xsi:type="dcterms:W3CDTF">2019-04-07T05:33:00Z</dcterms:created>
  <dcterms:modified xsi:type="dcterms:W3CDTF">2019-04-07T18:46:00Z</dcterms:modified>
</cp:coreProperties>
</file>