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едеральное государственное бюджетное образовательное учреждение </w:t>
      </w: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высшего образования</w:t>
      </w: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«Оренбургский государственный медицинский университет»</w:t>
      </w: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здравоохранения Российской Федерации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b/>
          <w:sz w:val="28"/>
          <w:u w:val="single"/>
        </w:rPr>
        <w:t>ВЕРТЕБРОНЕВРОЛОГИЯ</w:t>
      </w:r>
      <w:r>
        <w:rPr>
          <w:rFonts w:ascii="Times New Roman" w:hAnsi="Times New Roman"/>
          <w:sz w:val="28"/>
        </w:rPr>
        <w:t>___________________</w:t>
      </w:r>
    </w:p>
    <w:p>
      <w:pPr>
        <w:pStyle w:val="style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</w:rPr>
        <w:t xml:space="preserve">наименование дисциплины) </w:t>
      </w: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направлению подготовки (специальности) </w:t>
      </w:r>
    </w:p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Неврология</w:t>
      </w: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31.08.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2</w:t>
      </w: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>
      <w:pPr>
        <w:pStyle w:val="style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</w:rPr>
        <w:t xml:space="preserve">код, наименование направления подготовки (специальности)) </w:t>
      </w:r>
    </w:p>
    <w:p>
      <w:pPr>
        <w:pStyle w:val="style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color w:val="000000"/>
        </w:rPr>
        <w:t>31.08.</w:t>
      </w:r>
      <w:r>
        <w:rPr>
          <w:rFonts w:ascii="Times New Roman" w:hAnsi="Times New Roman"/>
          <w:i/>
          <w:color w:val="000000"/>
          <w:lang w:val="en-US"/>
        </w:rPr>
        <w:t>4</w:t>
      </w:r>
      <w:r>
        <w:rPr>
          <w:rFonts w:ascii="Times New Roman" w:hAnsi="Times New Roman"/>
          <w:i/>
          <w:color w:val="000000"/>
          <w:lang w:val="en-US"/>
        </w:rPr>
        <w:t>2 Неврология</w:t>
      </w:r>
    </w:p>
    <w:p>
      <w:pPr>
        <w:pStyle w:val="style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______________________________________________________________________________, </w:t>
      </w:r>
    </w:p>
    <w:p>
      <w:pPr>
        <w:pStyle w:val="style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утвержденной ученым советом ФГБОУ ВО ОрГМУ Минздрава России</w:t>
      </w:r>
    </w:p>
    <w:p>
      <w:pPr>
        <w:pStyle w:val="style0"/>
        <w:jc w:val="both"/>
        <w:rPr>
          <w:rFonts w:ascii="Times New Roman" w:hAnsi="Times New Roman"/>
          <w:color w:val="000000"/>
        </w:rPr>
      </w:pPr>
    </w:p>
    <w:p>
      <w:pPr>
        <w:pStyle w:val="style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протокол № 11  от «22» июня 2018</w:t>
      </w:r>
    </w:p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Оренбург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Вертеброневрология.</w:t>
      </w:r>
      <w:bookmarkStart w:id="0" w:name="_GoBack"/>
      <w:bookmarkEnd w:id="0"/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>
        <w:rPr>
          <w:rFonts w:ascii="Times New Roman" w:hAnsi="Times New Roman"/>
          <w:b/>
          <w:color w:val="000000"/>
          <w:sz w:val="28"/>
          <w:szCs w:val="28"/>
        </w:rPr>
        <w:t>екция</w:t>
      </w:r>
    </w:p>
    <w:p>
      <w:pPr>
        <w:pStyle w:val="style0"/>
        <w:spacing w:after="0" w:lineRule="auto" w:line="24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Классификация дорсопатий по МКБ-10. Кифоз, лордоз, сколиоз, спондилолиз, спондилолистез. Остеохондроз или дорсопатии. Туннельные синдромы рук и ног.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 дорсопатиях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знания </w:t>
      </w:r>
      <w:r>
        <w:rPr>
          <w:rFonts w:ascii="Times New Roman" w:hAnsi="Times New Roman"/>
          <w:color w:val="000000"/>
          <w:sz w:val="28"/>
          <w:szCs w:val="28"/>
        </w:rPr>
        <w:t>о к</w:t>
      </w:r>
      <w:r>
        <w:rPr>
          <w:rFonts w:ascii="Times New Roman" w:hAnsi="Times New Roman"/>
          <w:color w:val="000000"/>
          <w:sz w:val="28"/>
          <w:szCs w:val="28"/>
        </w:rPr>
        <w:t>ифоз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 лордоз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 сколиоз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 спондилолиз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 спондилолистез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; сформ</w:t>
      </w:r>
      <w:r>
        <w:rPr>
          <w:rFonts w:ascii="Times New Roman" w:hAnsi="Times New Roman"/>
          <w:color w:val="000000"/>
          <w:sz w:val="28"/>
          <w:szCs w:val="28"/>
        </w:rPr>
        <w:t>ировать новые понятия о о</w:t>
      </w:r>
      <w:r>
        <w:rPr>
          <w:rFonts w:ascii="Times New Roman" w:hAnsi="Times New Roman"/>
          <w:color w:val="000000"/>
          <w:sz w:val="28"/>
          <w:szCs w:val="28"/>
        </w:rPr>
        <w:t>стеохондроз</w:t>
      </w:r>
      <w:r>
        <w:rPr>
          <w:rFonts w:ascii="Times New Roman" w:hAnsi="Times New Roman"/>
          <w:color w:val="000000"/>
          <w:sz w:val="28"/>
          <w:szCs w:val="28"/>
        </w:rPr>
        <w:t xml:space="preserve">е, </w:t>
      </w:r>
      <w:r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рсопатии и  туннельных синдромах</w:t>
      </w:r>
      <w:r>
        <w:rPr>
          <w:rFonts w:ascii="Times New Roman" w:hAnsi="Times New Roman"/>
          <w:color w:val="000000"/>
          <w:sz w:val="28"/>
          <w:szCs w:val="28"/>
        </w:rPr>
        <w:t xml:space="preserve"> рук и ног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История, основоположники вертеброневрологии.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Современная к</w:t>
      </w:r>
      <w:r>
        <w:rPr>
          <w:rFonts w:ascii="Times New Roman" w:hAnsi="Times New Roman"/>
          <w:color w:val="000000"/>
          <w:sz w:val="28"/>
          <w:szCs w:val="28"/>
        </w:rPr>
        <w:t xml:space="preserve">лассификация дорсопатий по МКБ-10. </w:t>
      </w:r>
      <w:r>
        <w:rPr>
          <w:rFonts w:ascii="Times New Roman" w:hAnsi="Times New Roman"/>
          <w:color w:val="000000"/>
          <w:sz w:val="28"/>
          <w:szCs w:val="28"/>
        </w:rPr>
        <w:t>Определение, клинические характеристики: к</w:t>
      </w:r>
      <w:r>
        <w:rPr>
          <w:rFonts w:ascii="Times New Roman" w:hAnsi="Times New Roman"/>
          <w:color w:val="000000"/>
          <w:sz w:val="28"/>
          <w:szCs w:val="28"/>
        </w:rPr>
        <w:t>ифоз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лордоз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сколиоз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спондилолиз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спондилолистез</w:t>
      </w:r>
      <w:r>
        <w:rPr>
          <w:rFonts w:ascii="Times New Roman" w:hAnsi="Times New Roman"/>
          <w:color w:val="000000"/>
          <w:sz w:val="28"/>
          <w:szCs w:val="28"/>
        </w:rPr>
        <w:t>а. Актуальность проблемы остеохондроза.  Описание туннельных синдромов</w:t>
      </w:r>
      <w:r>
        <w:rPr>
          <w:rFonts w:ascii="Times New Roman" w:hAnsi="Times New Roman"/>
          <w:color w:val="000000"/>
          <w:sz w:val="28"/>
          <w:szCs w:val="28"/>
        </w:rPr>
        <w:t xml:space="preserve"> рук и ног.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монолог с элементами эвристической беседы с опорой на визуальные средства.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1. Метод обучения по Ю.К. Бабанскому: стимулирования и мотивации учебно-позновательной деятельности.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2. Методы обучения по И.Я. Лернеру и М.Н. Скаткину: объяснительно-иллюстративный; проблемного изложения.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презентация, плакаты, раздаточный материал.);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uppressAutoHyphens/>
        <w:spacing w:after="0" w:lineRule="auto" w:line="240"/>
        <w:ind w:left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Радикулопатии шейного отдела позвоночника. Атланто-аксиальная нестабильность. Тортиколис. Гиперостоз Форестье. Плексопатия Дежирина, Эрба. Клиника. Топическая диагностика. Осложнения. Лечение.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изучение видов поражений шейного отдела позвоночника, </w:t>
      </w:r>
      <w:r>
        <w:rPr>
          <w:rFonts w:ascii="Times New Roman" w:hAnsi="Times New Roman"/>
          <w:color w:val="000000"/>
          <w:sz w:val="28"/>
          <w:szCs w:val="28"/>
        </w:rPr>
        <w:t>клиники, топической диагностики, осложнений, лечения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 Особенности строения шейного отдела позвоночника.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 Биомеханика отделов позвоночника.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 Шейная дорсопатия.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 Радикулопатия шейного отдела позвоночника.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5. Нейро-визуализационные методы исследования шейного отдела позвоночнника (МРТ, КТ, МРТ-ангиграфия).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 Понятие атланто-аксиальной нестабильности.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 Определение тортиколиса и гиперостоза Форестье. Клиника. Топическая диагностика. Осложнения. Лечение.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8. Плексопатия Дежирина, Эрба. Клиника. Топическая диагностика.  Осложнения. Лечение.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 Консерванивное лечение шейных дорсопатий.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10. Хирургическое лечение шейных дорсопатий.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(презентация, плакаты, раздаточный материал.);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проектор.).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Радикулопатии грудного и пояснично-крестцового отделов позвоночника. Синдромы малой грудной и грушевидной мышц. Межреберная невропатия. Поражение поясничного сплетения. Синдром конского хвоста. Поражение наружного нерва бедра и запирательного нерва. К</w:t>
      </w:r>
      <w:r>
        <w:rPr>
          <w:rFonts w:ascii="Times New Roman" w:hAnsi="Times New Roman"/>
          <w:color w:val="000000"/>
          <w:sz w:val="28"/>
          <w:szCs w:val="28"/>
        </w:rPr>
        <w:t>линика. Топическая диагностика.</w:t>
      </w:r>
      <w:r>
        <w:rPr>
          <w:rFonts w:ascii="Times New Roman" w:hAnsi="Times New Roman"/>
          <w:color w:val="000000"/>
          <w:sz w:val="28"/>
          <w:szCs w:val="28"/>
        </w:rPr>
        <w:t xml:space="preserve"> Осложнения. Лечение.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изучение поражени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грудного и пояснично-крестцового отделов позвоночника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Особенности строения грудного отдела позвоночника.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Особенности строения пояснично-крестцового отдела позвоночника.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Биомеханика грудного и пояснично-крестцового отделов позвоночника.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Радикулопатия грудного и пояснично-крестцового отделов позвоночника.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Нейро-визуализационные методы исследования грудного и пояснично-крестцового отделов позвоночника (МРТ, КТ, МРТ-ангиография).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Синдромы малой грудной и грушевидной мышц.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Межреберная невропатия. Клиника. Топическая диагностика. Осложнения. Лечение.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Поражение поясничного сплетения. Клиника. Топическая диагностика.   Осложнения. Лечение.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Поражение наружного нерва бедра и запирательного нерва. Клиника. Топическая диагностика.  Осложнения. Лечение.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Консервативное лечение грудного и пояснично-крестцового отделов позвоночника.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Хирургическое лечение грудного и пояснично-крестцового отделов позвоночника.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(презентация, плакаты, раздаточный материал.);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проектор.).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Рефлекторные миодистонические синдромы. Синдромы нижней косой мышцы, лестничных мышц, мышцы поднимающей лопатку. Вертеброкардиальный синдром, дифференциальный диагноз с ИБС и инфарктом миокарда. Клиника. Диагностика. Осложнения. Лечение.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изучить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ефлекторные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миодистонически</w:t>
      </w:r>
      <w:r>
        <w:rPr>
          <w:rFonts w:ascii="Times New Roman" w:hAnsi="Times New Roman"/>
          <w:color w:val="000000"/>
          <w:sz w:val="28"/>
          <w:szCs w:val="28"/>
        </w:rPr>
        <w:t>е и в</w:t>
      </w:r>
      <w:r>
        <w:rPr>
          <w:rFonts w:ascii="Times New Roman" w:hAnsi="Times New Roman"/>
          <w:color w:val="000000"/>
          <w:sz w:val="28"/>
          <w:szCs w:val="28"/>
        </w:rPr>
        <w:t>ертеброкардиальны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синдром</w:t>
      </w:r>
      <w:r>
        <w:rPr>
          <w:rFonts w:ascii="Times New Roman" w:hAnsi="Times New Roman"/>
          <w:color w:val="000000"/>
          <w:sz w:val="28"/>
          <w:szCs w:val="28"/>
        </w:rPr>
        <w:t xml:space="preserve">ы, провести </w:t>
      </w:r>
      <w:r>
        <w:rPr>
          <w:rFonts w:ascii="Times New Roman" w:hAnsi="Times New Roman"/>
          <w:color w:val="000000"/>
          <w:sz w:val="28"/>
          <w:szCs w:val="28"/>
        </w:rPr>
        <w:t>дифференциальный диагноз с ИБС и инфарктом миокарда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 Рефлекторные миодистонические синдромы.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 Синдром нижней косой мышцы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 Синдром лестничных мышц.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 Синдром мышцы поднимающей лопатку.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5. Синдром цервикалгии.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 Синдром плече-лопаточного периартроза.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 Вертеброкардиальный синдром.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8. Вертеброкардиальный синдром дифференциальный диагноз с ИБС инфарктом миокарда. Клиника. Диагностика. Осложнения. Лечение.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 Поражение наружного нерва бедра и запирательного нерва. Клиника. Топическая диагностика.  Осложнения. Лечение.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10. Принципы лечения болей в спине.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(презентация, плакаты, раздаточный материал.);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(мел, доска, мультимедийный проектор.).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Вертеброгенные компрессии спинного мозга на шейном уровне. Грыжи Шморля. Шейно-черепной и плечевой синдромы. Туннельные синдромы нервов шеи и руки (затылочного, надлопаточного, переднего межкостного нервов). Клиника. Диагностика. Осложнения. Лечение.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изучение этиологии, патогенеза, клиники </w:t>
      </w:r>
      <w:r>
        <w:rPr>
          <w:rFonts w:ascii="Times New Roman" w:hAnsi="Times New Roman"/>
          <w:color w:val="000000"/>
          <w:sz w:val="28"/>
          <w:szCs w:val="28"/>
        </w:rPr>
        <w:t>вертеброгенных поражений</w:t>
      </w:r>
      <w:r>
        <w:rPr>
          <w:rFonts w:ascii="Times New Roman" w:hAnsi="Times New Roman"/>
          <w:color w:val="000000"/>
          <w:sz w:val="28"/>
          <w:szCs w:val="28"/>
        </w:rPr>
        <w:t xml:space="preserve"> спинного мозга на шейном уровне</w:t>
      </w:r>
      <w:r>
        <w:rPr>
          <w:rFonts w:ascii="Times New Roman" w:hAnsi="Times New Roman"/>
          <w:color w:val="000000"/>
          <w:sz w:val="28"/>
          <w:szCs w:val="28"/>
        </w:rPr>
        <w:t xml:space="preserve"> и верхних конечностях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Вертеброгенные компрессии спинного мозга на шейном уровне.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Грыжи Шморля.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Шейно-черепной синдром.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Шейно-плечевой синдром.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Туннельные синдромы нервов шеи и руки (затылочного, надлопаточного, переднего межкостного нервов). Клиника. Диагностика. Осложнения. Лечение.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Консервативное лечение компрессионных синдромов.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Хирургическое лечение вертеброгенных компрессий спинного мозга на шейном уровне.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Электродиагностика (ЭНМГ).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Реабилитационные мероприятия у пациентов с вертеброгенными компрессиями спинного мозга на шейном уровне.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Показания и противопоказания для применения методики вытяжения при неврологических проявлениях вертеброгенных компрессий спинного мозга на шейном уровне.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(презентация, п</w:t>
      </w:r>
      <w:r>
        <w:rPr>
          <w:rFonts w:ascii="Times New Roman" w:hAnsi="Times New Roman"/>
          <w:color w:val="000000"/>
          <w:sz w:val="28"/>
          <w:szCs w:val="28"/>
        </w:rPr>
        <w:t xml:space="preserve">лакаты, раздаточный материал.);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проектор.).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Вертеброгенные компрессии спинного мозга на грудном уровне. Синдром Броун-Сикара. Ганглионевриты. Постгерпетическая невралгия. Диагностика. Осложнения. Лечение.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изучение этиологии, патогенеза, клиники </w:t>
      </w:r>
      <w:r>
        <w:rPr>
          <w:rFonts w:ascii="Times New Roman" w:hAnsi="Times New Roman"/>
          <w:color w:val="000000"/>
          <w:sz w:val="28"/>
          <w:szCs w:val="28"/>
        </w:rPr>
        <w:t>вертеброгенных поражений</w:t>
      </w:r>
      <w:r>
        <w:rPr>
          <w:rFonts w:ascii="Times New Roman" w:hAnsi="Times New Roman"/>
          <w:color w:val="000000"/>
          <w:sz w:val="28"/>
          <w:szCs w:val="28"/>
        </w:rPr>
        <w:t xml:space="preserve"> спинного мозга </w:t>
      </w:r>
      <w:r>
        <w:rPr>
          <w:rFonts w:ascii="Times New Roman" w:hAnsi="Times New Roman"/>
          <w:color w:val="000000"/>
          <w:sz w:val="28"/>
          <w:szCs w:val="28"/>
        </w:rPr>
        <w:t>на грудном уровне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uppressAutoHyphens/>
              <w:spacing w:after="0" w:lineRule="auto" w:line="24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Вереброгенные компрессии спинного мозга на грудном уровне.</w:t>
            </w:r>
          </w:p>
          <w:p>
            <w:pPr>
              <w:pStyle w:val="style0"/>
              <w:suppressAutoHyphens/>
              <w:spacing w:after="0" w:lineRule="auto" w:line="24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Синдром Броун-Сикара. Диагностика. Осложнения. Лечение.</w:t>
            </w:r>
          </w:p>
          <w:p>
            <w:pPr>
              <w:pStyle w:val="style0"/>
              <w:suppressAutoHyphens/>
              <w:spacing w:after="0" w:lineRule="auto" w:line="24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Ганглионевриты. Диагностика. Осложнения. Лечение.</w:t>
            </w:r>
          </w:p>
          <w:p>
            <w:pPr>
              <w:pStyle w:val="style0"/>
              <w:suppressAutoHyphens/>
              <w:spacing w:after="0" w:lineRule="auto" w:line="24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Постгерпетическая невралгия. Диагностика. Осложнения. Лечение.</w:t>
            </w:r>
          </w:p>
          <w:p>
            <w:pPr>
              <w:pStyle w:val="style0"/>
              <w:suppressAutoHyphens/>
              <w:spacing w:after="0" w:lineRule="auto" w:line="24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Нейровизуализация (рентгенологические методы исследования – обыч-</w:t>
            </w:r>
          </w:p>
          <w:p>
            <w:pPr>
              <w:pStyle w:val="style0"/>
              <w:suppressAutoHyphens/>
              <w:spacing w:after="0" w:lineRule="auto" w:line="24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ные и функциональные, МРТ, КТ, МРТ-ангиография).</w:t>
            </w:r>
          </w:p>
          <w:p>
            <w:pPr>
              <w:pStyle w:val="style0"/>
              <w:suppressAutoHyphens/>
              <w:spacing w:after="0" w:lineRule="auto" w:line="24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Консервативная терапия вереброгенных компрессий спинного мозга на грудном уровне.</w:t>
            </w:r>
          </w:p>
          <w:p>
            <w:pPr>
              <w:pStyle w:val="style0"/>
              <w:suppressAutoHyphens/>
              <w:spacing w:after="0" w:lineRule="auto" w:line="24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Хирургическое лечение вереброгенных компрессий спинного мозга на грудном уровне.</w:t>
            </w:r>
          </w:p>
          <w:p>
            <w:pPr>
              <w:pStyle w:val="style0"/>
              <w:suppressAutoHyphens/>
              <w:spacing w:after="0" w:lineRule="auto" w:line="24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Специфическое и физиотерапевтическое лечение постгерпетической невралгии.</w:t>
            </w:r>
          </w:p>
          <w:p>
            <w:pPr>
              <w:pStyle w:val="style0"/>
              <w:suppressAutoHyphens/>
              <w:spacing w:after="0" w:lineRule="auto" w:line="240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Реабилитационные мероприятия у пациентов с вереброгенными компрессиями спинного мозга на грудном уровне.</w:t>
            </w:r>
          </w:p>
          <w:p>
            <w:pPr>
              <w:pStyle w:val="style0"/>
              <w:spacing w:after="0" w:lineRule="auto" w:line="240"/>
              <w:ind w:left="2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Показания и противопоказания для применения методики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вытяжения при неврологических проявлениях вереброгенных компрессий спинного мозга на грудном уровне.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(презентация, плакаты, раздаточный материал.);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   -  материально-технические (мел, доска, мультимедийный проектор.).</w:t>
      </w:r>
    </w:p>
    <w:p>
      <w:pPr>
        <w:pStyle w:val="style0"/>
        <w:tabs>
          <w:tab w:val="left" w:leader="none" w:pos="6510"/>
        </w:tabs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Вертеброгенные компрессии  спинного мозга на  уровне поясничного утолщения. Стеноз позвоночного канала. Диагностика. Осложнения. Лечение.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изучение этиологии, патогенеза, клиники вертеброгенных поражений спинного мозга на уровне поясничного утолщения.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uppressAutoHyphens/>
              <w:spacing w:after="0" w:lineRule="auto" w:line="240"/>
              <w:ind w:left="250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Вертеброгенные компрессии спинного мозга на уровне поясничного утолщения.</w:t>
            </w:r>
          </w:p>
          <w:p>
            <w:pPr>
              <w:pStyle w:val="style0"/>
              <w:suppressAutoHyphens/>
              <w:spacing w:after="0" w:lineRule="auto" w:line="240"/>
              <w:ind w:left="250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Стеноз позвоночного канала. Диагностика. Осложнения. Лечение.</w:t>
            </w:r>
          </w:p>
          <w:p>
            <w:pPr>
              <w:pStyle w:val="style0"/>
              <w:suppressAutoHyphens/>
              <w:spacing w:after="0" w:lineRule="auto" w:line="240"/>
              <w:ind w:left="250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Компрессионные синдромы (корешковые компрессионные синдромы,</w:t>
            </w:r>
          </w:p>
          <w:p>
            <w:pPr>
              <w:pStyle w:val="style0"/>
              <w:suppressAutoHyphens/>
              <w:spacing w:after="0" w:lineRule="auto" w:line="240"/>
              <w:ind w:left="250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конского хвоста).</w:t>
            </w:r>
          </w:p>
          <w:p>
            <w:pPr>
              <w:pStyle w:val="style0"/>
              <w:suppressAutoHyphens/>
              <w:spacing w:after="0" w:lineRule="auto" w:line="240"/>
              <w:ind w:left="250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Особенности терапии вертеброгенных компрессий спинного мозга на уровне поясничного утолщения.</w:t>
            </w:r>
          </w:p>
          <w:p>
            <w:pPr>
              <w:pStyle w:val="style0"/>
              <w:suppressAutoHyphens/>
              <w:spacing w:after="0" w:lineRule="auto" w:line="240"/>
              <w:ind w:left="250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Нейровизуализация (рентгенологические методы исследования – обычные и функциональные, МРТ, КТ, МРТ-ангиография).</w:t>
            </w:r>
          </w:p>
          <w:p>
            <w:pPr>
              <w:pStyle w:val="style0"/>
              <w:suppressAutoHyphens/>
              <w:spacing w:after="0" w:lineRule="auto" w:line="240"/>
              <w:ind w:left="250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Консервативная терапия вертеброгенных компрессий спинного мозга на уровне поясничного утолщения.</w:t>
            </w:r>
          </w:p>
          <w:p>
            <w:pPr>
              <w:pStyle w:val="style0"/>
              <w:suppressAutoHyphens/>
              <w:spacing w:after="0" w:lineRule="auto" w:line="240"/>
              <w:ind w:left="250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Хирургическое лечение вертеброгенных компрессий спинного мозга на уровне поясничного утолщения.</w:t>
            </w:r>
          </w:p>
          <w:p>
            <w:pPr>
              <w:pStyle w:val="style0"/>
              <w:suppressAutoHyphens/>
              <w:spacing w:after="0" w:lineRule="auto" w:line="240"/>
              <w:ind w:left="250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Рефлексотерапевтическое и физиотерапевтическое лечение </w:t>
            </w:r>
            <w:r>
              <w:rPr>
                <w:rFonts w:ascii="Times New Roman" w:hAnsi="Times New Roman"/>
                <w:sz w:val="28"/>
                <w:szCs w:val="28"/>
              </w:rPr>
              <w:t>вертеброгенных компрессий спинного мозга на уровне поясничного утолщения.</w:t>
            </w:r>
          </w:p>
          <w:p>
            <w:pPr>
              <w:pStyle w:val="style0"/>
              <w:suppressAutoHyphens/>
              <w:spacing w:after="0" w:lineRule="auto" w:line="240"/>
              <w:ind w:left="250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Реабилитационные мероприятия у пациентов с вертеброгенными компрессиями спинного мозга на уровне поясничного утолщения.</w:t>
            </w:r>
          </w:p>
          <w:p>
            <w:pPr>
              <w:pStyle w:val="style0"/>
              <w:spacing w:after="0" w:lineRule="auto" w:line="240"/>
              <w:ind w:left="250"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Показания и противопоказания для применения методики вытяжения при неврологических проявлениях вертеброгенных компрессий спинного мозга на уровне поясничного утолщения.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(презентация, плакаты, раздаточный материал.);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   -  материально-технические (мел, доска, мультимедийный проектор.).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8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Спондилопатии: анкилозирующий спондилит, остеомиелит позвонков, туберкулёз позвоночника, бруцеллёзный и энтеробактериальный спондилит. Диагностика. Профилактика. Лечение.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изучение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спондилопатий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анкилозирующего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спондилит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остеомиелит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позвонков, туберкулёз</w:t>
      </w:r>
      <w:r>
        <w:rPr>
          <w:rFonts w:ascii="Times New Roman" w:hAnsi="Times New Roman"/>
          <w:color w:val="000000"/>
          <w:sz w:val="28"/>
          <w:szCs w:val="28"/>
        </w:rPr>
        <w:t>а позвоночника, бруцеллёзного и энтеробактериального спондилита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 Анкилозирующий спондилит. Диагностика. Профилактика. Лечение.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 Стеноз позвоночного канала. Диагностика. Осложнения. Лечение.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 Остеомиелит позвонков. Диагностика. Профилактика. Лечение.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 Туберкулёз позвоночника. Диагностика. Профилактика. Лечение.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5. Бруцеллёзный спондилит. Диагностика. Профилактика. Лечение.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 Энтеробактериальный спондилит. Диагностика. Профилактика. Лечение.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7. Особенности терапии спондилопатий.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8. Нейровизуализация (рентгенологические методы исследования – обычные и функциональные, МРТ, КТ, МРТ-ангиография).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 Консервативная терапия спондилопатий.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10. Реабилитационные мероприятия у пациентов со спондилопатиями.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(презентация, плакаты, раздаточный материал.);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   -  материально-технические (мел, доска, мультимедийный проектор.).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Поражения межпозвоночных дисков, шейно-плечевой и шейно-черепной синдромы. Цервикаго и цервикалгия, Дисциты. Виды нейрохирургического лечения. Диагностика. Профилактика. Лечение.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изучить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оражения межпозвоночных дисков, шейно-плечевой и шейно-черепной синдромы</w:t>
      </w:r>
      <w:r>
        <w:rPr>
          <w:rFonts w:ascii="Times New Roman" w:hAnsi="Times New Roman"/>
          <w:color w:val="000000"/>
          <w:sz w:val="28"/>
          <w:szCs w:val="28"/>
        </w:rPr>
        <w:t>, цервикаго и цервикалгии, дисциты, в</w:t>
      </w:r>
      <w:r>
        <w:rPr>
          <w:rFonts w:ascii="Times New Roman" w:hAnsi="Times New Roman"/>
          <w:color w:val="000000"/>
          <w:sz w:val="28"/>
          <w:szCs w:val="28"/>
        </w:rPr>
        <w:t>иды нейрохирургического лечения.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 Поражения межпозвоночных дисков. Диагностика. Осложнения. Лечение.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 Шейно-плечевой синдром. Диагностика. Осложнения. Лечение.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 Шейно-черепной синдром. Диагностика. Осложнения. Лечение.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 Цервикаго и цервикалгия, дисциты.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5. Виды нейрохирургического лечения.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 Определение показаний к нейрохирургическому лечению.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 Проведение реабилитационных мероприятий пациентам с дорсопатиями.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8. Особенности строения и биомеханики шейного отдела позвоночника.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 Дифференцированное лечение шейных болевых синдромов.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10. Фармакотерапия шейно-плечевого и шейно-черепного синдромов.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(презентация, плакаты, раздаточный материал.);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   -  материально-технические (мел, доска, мультимедийный проектор.).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10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Дорсалгии, ишиас, люмбаго с ишиасом. Рефлекторная люмбоишалгия.  Диагностика. Профилактика. Лечение.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орс</w:t>
      </w:r>
      <w:r>
        <w:rPr>
          <w:rFonts w:ascii="Times New Roman" w:hAnsi="Times New Roman"/>
          <w:color w:val="000000"/>
          <w:sz w:val="28"/>
          <w:szCs w:val="28"/>
        </w:rPr>
        <w:t>алгии, ишиас, люмбаго с ишиасом, рефлекторную люмбоишалгию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Дорсалгии. Диагностика. Осложнения. Лечение.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Ишиас. Диагностика. Осложнения. Лечение.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Люмбаго с ишиасом. Диагностика. Осложнения. Лечение.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Рефлекторная люмбоишалгия.  Диагностика. Профилактика. Лечение.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Дифференциальное лечение грудных болевых синдромов.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Определение показаний к нейрохирургическому лечению.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Проведение реабилитационных мероприятий пациентам с люмбоишалгиями.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Особенности строения и биомеханики грудного и пояснично-крестцового отделов позвоночника.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Дифференциированное лечение поясничных болевых синдромов.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Фармакотерапия люмбаго с ишиасом.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(презентация, плакаты, раздаточный материал.);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   -  материально-технические (мел, доска, мультимедийный проектор.).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Артрозы и артриты межпозвонковых суставов. Фасеточный синдром. Методы исследования в вертеброневрологии: спондилография, КТ, МРТ, миелография, дискография.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ртрозы и ар</w:t>
      </w:r>
      <w:r>
        <w:rPr>
          <w:rFonts w:ascii="Times New Roman" w:hAnsi="Times New Roman"/>
          <w:color w:val="000000"/>
          <w:sz w:val="28"/>
          <w:szCs w:val="28"/>
        </w:rPr>
        <w:t>триты межпозвонковых суставов, фасеточный синдром, м</w:t>
      </w:r>
      <w:r>
        <w:rPr>
          <w:rFonts w:ascii="Times New Roman" w:hAnsi="Times New Roman"/>
          <w:color w:val="000000"/>
          <w:sz w:val="28"/>
          <w:szCs w:val="28"/>
        </w:rPr>
        <w:t>етоды исследования в вертеброневрологии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1. Артрозы и артриты межпозвонковых суставов. Диагностика. </w:t>
            </w:r>
            <w:r>
              <w:rPr>
                <w:rFonts w:ascii="Times New Roman" w:hAnsi="Times New Roman"/>
                <w:sz w:val="28"/>
                <w:szCs w:val="24"/>
              </w:rPr>
              <w:t>Осложнения. Лечение.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 Фасеточный синдром. Диагностика. Осложнения. Лечение.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 Методы исследования в вертеброневрологии: спондилография, КТ, МРТ, миелография, дискография.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 Методы исследования в вертеброневрологии: миелография, дискография.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5. Дифференциальное лечение артрозов и артритов межпозвонковых суставов.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 Определение показаний к нейрохирургическому лечению.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 Проведение реабилитационных мероприятий пациентам с артрозами и артритами межпозвонковых суставов.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8. Лабораторные методы исследования.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 Определение триггерных точек дефанса мышц.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10. Фармакотерапия артрозов и артритов межпозвонковых суставов.</w:t>
            </w:r>
          </w:p>
          <w:p>
            <w:pPr>
              <w:pStyle w:val="style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(презентация, плакаты, раздаточный материал.);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   -  материально-технические (мел, доска, мультимедийный проектор.).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Принципы лечения боли (ноцециптивной, нейропатической, смешанной)  и неврологических осложнений при вертеброгенной патологии. Экспертиза трудоспособности (статодинамические нарушения), критерии инвалидности.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изучить </w:t>
      </w:r>
      <w:r>
        <w:rPr>
          <w:rFonts w:ascii="Times New Roman" w:hAnsi="Times New Roman"/>
          <w:color w:val="000000"/>
          <w:sz w:val="28"/>
          <w:szCs w:val="28"/>
        </w:rPr>
        <w:t xml:space="preserve">принципы лечения боли, </w:t>
      </w:r>
      <w:r>
        <w:rPr>
          <w:rFonts w:ascii="Times New Roman" w:hAnsi="Times New Roman"/>
          <w:color w:val="000000"/>
          <w:sz w:val="28"/>
          <w:szCs w:val="28"/>
        </w:rPr>
        <w:t>неврологических осложнен</w:t>
      </w:r>
      <w:r>
        <w:rPr>
          <w:rFonts w:ascii="Times New Roman" w:hAnsi="Times New Roman"/>
          <w:color w:val="000000"/>
          <w:sz w:val="28"/>
          <w:szCs w:val="28"/>
        </w:rPr>
        <w:t>ий при вертеброгенной патологии, экспертизу</w:t>
      </w:r>
      <w:r>
        <w:rPr>
          <w:rFonts w:ascii="Times New Roman" w:hAnsi="Times New Roman"/>
          <w:color w:val="000000"/>
          <w:sz w:val="28"/>
          <w:szCs w:val="28"/>
        </w:rPr>
        <w:t xml:space="preserve"> трудоспособности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критерии инвалидности.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ситуационных задач, оформление результатов клинического наблюдения в форме описания неврологического статуса, выделения основных симптомов </w:t>
            </w:r>
            <w:r>
              <w:rPr>
                <w:rFonts w:ascii="Times New Roman" w:hAnsi="Times New Roman"/>
                <w:sz w:val="28"/>
                <w:szCs w:val="28"/>
              </w:rPr>
              <w:t>(синдромов), постановка топического и нозологического диагноза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 Принципы лечения боли (ноцециптивной, нейропатической, смешанной) при вертеброгенной патологии.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 Принципы лечения боли неврологических осложнений при вертеброгенной патологии.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 Экспертиза трудоспособности (статодинамические нарушения).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 Критерии инвалидности.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5. Подбор препаратов для медикаментозного лечения болевых синдромов и неврологических осложнений при вертеброгенной патологии.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 Дифференциальная диагностика болевых синдромов в спине.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7. Реабилитационные мероприятия пациентов с дорсопатией имеющих неврологические осложнения при вертеброгенной патологии.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8. Показания к экспертизе трудоспосбности. Законодательная база.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 Социальные адаптационные рекомендации и мероприятия для пациентов находящихся на инвалидности по причине вертеброгенной патологии.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10. Нейро-психологические особенности ведения больных в клинике находящихся на инвалидности по причине вертеброгенной патологии.</w:t>
            </w:r>
          </w:p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курация больного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style179"/>
              <w:numPr>
                <w:ilvl w:val="0"/>
                <w:numId w:val="8"/>
              </w:numPr>
              <w:spacing w:after="0" w:lineRule="auto" w:line="240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 (презентация, плакаты, раздаточный материал.);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      -  материально-технические (мел, доска, мультимедийный проектор.).</w:t>
      </w:r>
    </w:p>
    <w:p>
      <w:pPr>
        <w:pStyle w:val="style0"/>
        <w:ind w:firstLine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sectPr>
      <w:footerReference w:type="default" r:id="rId2"/>
      <w:pgSz w:w="11906" w:h="16838" w:orient="portrait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Segoe UI"/>
    <w:panose1 w:val="020b0502040002020203"/>
    <w:charset w:val="cc"/>
    <w:family w:val="swiss"/>
    <w:pitch w:val="variable"/>
    <w:sig w:usb0="E00022FF" w:usb1="C000205B" w:usb2="00000009" w:usb3="00000000" w:csb0="000001D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cs="Symbol" w:hAnsi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multilevel"/>
    <w:tmpl w:val="65BC47EA"/>
    <w:lvl w:ilvl="0">
      <w:start w:val="1"/>
      <w:numFmt w:val="decimal"/>
      <w:lvlText w:val="%1."/>
      <w:lvlJc w:val="left"/>
      <w:pPr>
        <w:tabs>
          <w:tab w:val="left" w:leader="none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0000003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ascii="Symbol" w:hAnsi="Symbol"/>
      </w:rPr>
    </w:lvl>
  </w:abstractNum>
  <w:abstractNum w:abstractNumId="4">
    <w:nsid w:val="00000004"/>
    <w:multiLevelType w:val="singleLevel"/>
    <w:tmpl w:val="0000000A"/>
    <w:name w:val="WW8Num10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cs="Times New Roman"/>
      </w:rPr>
    </w:lvl>
  </w:abstractNum>
  <w:abstractNum w:abstractNumId="5">
    <w:nsid w:val="00000005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left" w:leader="none" w:pos="141"/>
        </w:tabs>
        <w:ind w:left="424" w:hanging="283"/>
      </w:pPr>
      <w:rPr>
        <w:rFonts w:ascii="Symbol" w:hAnsi="Symbol"/>
      </w:rPr>
    </w:lvl>
  </w:abstractNum>
  <w:abstractNum w:abstractNumId="6">
    <w:nsid w:val="00000006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left" w:leader="none" w:pos="720"/>
        </w:tabs>
        <w:ind w:left="720" w:hanging="360"/>
      </w:pPr>
      <w:rPr>
        <w:rFonts w:ascii="Symbol" w:cs="Times New Roman" w:hAnsi="Symbol"/>
        <w:b/>
      </w:rPr>
    </w:lvl>
    <w:lvl w:ilvl="1">
      <w:start w:val="1"/>
      <w:numFmt w:val="bullet"/>
      <w:lvlText w:val=""/>
      <w:lvlJc w:val="left"/>
      <w:pPr>
        <w:tabs>
          <w:tab w:val="left" w:leader="none" w:pos="1080"/>
        </w:tabs>
        <w:ind w:left="1080" w:hanging="360"/>
      </w:pPr>
      <w:rPr>
        <w:rFonts w:ascii="Symbol" w:cs="Times New Roman" w:hAnsi="Symbol"/>
        <w:b/>
      </w:rPr>
    </w:lvl>
    <w:lvl w:ilvl="2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cs="Times New Roman" w:hAnsi="Symbol"/>
        <w:b/>
      </w:rPr>
    </w:lvl>
    <w:lvl w:ilvl="3">
      <w:start w:val="1"/>
      <w:numFmt w:val="bullet"/>
      <w:lvlText w:val=""/>
      <w:lvlJc w:val="left"/>
      <w:pPr>
        <w:tabs>
          <w:tab w:val="left" w:leader="none" w:pos="1800"/>
        </w:tabs>
        <w:ind w:left="1800" w:hanging="360"/>
      </w:pPr>
      <w:rPr>
        <w:rFonts w:ascii="Symbol" w:cs="Times New Roman" w:hAnsi="Symbol"/>
        <w:b/>
      </w:rPr>
    </w:lvl>
    <w:lvl w:ilvl="4">
      <w:start w:val="1"/>
      <w:numFmt w:val="bullet"/>
      <w:lvlText w:val=""/>
      <w:lvlJc w:val="left"/>
      <w:pPr>
        <w:tabs>
          <w:tab w:val="left" w:leader="none" w:pos="2160"/>
        </w:tabs>
        <w:ind w:left="2160" w:hanging="360"/>
      </w:pPr>
      <w:rPr>
        <w:rFonts w:ascii="Symbol" w:cs="Times New Roman" w:hAnsi="Symbol"/>
        <w:b/>
      </w:rPr>
    </w:lvl>
    <w:lvl w:ilvl="5">
      <w:start w:val="1"/>
      <w:numFmt w:val="bullet"/>
      <w:lvlText w:val=""/>
      <w:lvlJc w:val="left"/>
      <w:pPr>
        <w:tabs>
          <w:tab w:val="left" w:leader="none" w:pos="2520"/>
        </w:tabs>
        <w:ind w:left="2520" w:hanging="360"/>
      </w:pPr>
      <w:rPr>
        <w:rFonts w:ascii="Symbol" w:cs="Times New Roman" w:hAnsi="Symbol"/>
        <w:b/>
      </w:rPr>
    </w:lvl>
    <w:lvl w:ilvl="6">
      <w:start w:val="1"/>
      <w:numFmt w:val="bullet"/>
      <w:lvlText w:val=""/>
      <w:lvlJc w:val="left"/>
      <w:pPr>
        <w:tabs>
          <w:tab w:val="left" w:leader="none" w:pos="2880"/>
        </w:tabs>
        <w:ind w:left="2880" w:hanging="360"/>
      </w:pPr>
      <w:rPr>
        <w:rFonts w:ascii="Symbol" w:cs="Times New Roman" w:hAnsi="Symbol"/>
        <w:b/>
      </w:rPr>
    </w:lvl>
    <w:lvl w:ilvl="7">
      <w:start w:val="1"/>
      <w:numFmt w:val="bullet"/>
      <w:lvlText w:val=""/>
      <w:lvlJc w:val="left"/>
      <w:pPr>
        <w:tabs>
          <w:tab w:val="left" w:leader="none" w:pos="3240"/>
        </w:tabs>
        <w:ind w:left="3240" w:hanging="360"/>
      </w:pPr>
      <w:rPr>
        <w:rFonts w:ascii="Symbol" w:cs="Times New Roman" w:hAnsi="Symbol"/>
        <w:b/>
      </w:rPr>
    </w:lvl>
    <w:lvl w:ilvl="8">
      <w:start w:val="1"/>
      <w:numFmt w:val="bullet"/>
      <w:lvlText w:val=""/>
      <w:lvlJc w:val="left"/>
      <w:pPr>
        <w:tabs>
          <w:tab w:val="left" w:leader="none" w:pos="3600"/>
        </w:tabs>
        <w:ind w:left="3600" w:hanging="360"/>
      </w:pPr>
      <w:rPr>
        <w:rFonts w:ascii="Symbol" w:cs="Times New Roman" w:hAnsi="Symbol"/>
        <w:b/>
      </w:rPr>
    </w:lvl>
  </w:abstractNum>
  <w:abstractNum w:abstractNumId="8">
    <w:nsid w:val="00000008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ascii="Symbol" w:hAnsi="Symbol"/>
      </w:rPr>
    </w:lvl>
  </w:abstractNum>
  <w:abstractNum w:abstractNumId="9">
    <w:nsid w:val="00000009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cs="Times New Roman"/>
      </w:rPr>
    </w:lvl>
  </w:abstractNum>
  <w:abstractNum w:abstractNumId="10">
    <w:nsid w:val="0000000A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cs="Times New Roman"/>
        <w:b/>
        <w:sz w:val="32"/>
        <w:szCs w:val="32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Times New Roman" w:hAnsi="Calibri"/>
      <w:lang w:eastAsia="ru-RU"/>
    </w:rPr>
  </w:style>
  <w:style w:type="paragraph" w:styleId="style2">
    <w:name w:val="heading 2"/>
    <w:basedOn w:val="style0"/>
    <w:next w:val="style0"/>
    <w:link w:val="style4098"/>
    <w:qFormat/>
    <w:pPr>
      <w:keepNext/>
      <w:spacing w:after="0" w:lineRule="auto" w:line="240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eastAsia="en-US"/>
    </w:rPr>
  </w:style>
  <w:style w:type="paragraph" w:styleId="style67">
    <w:name w:val="Body Text Indent"/>
    <w:basedOn w:val="style0"/>
    <w:next w:val="style67"/>
    <w:link w:val="style4097"/>
    <w:pPr>
      <w:spacing w:after="0" w:lineRule="auto" w:line="240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style4097">
    <w:name w:val="Основной текст с отступом Знак"/>
    <w:basedOn w:val="style65"/>
    <w:next w:val="style4097"/>
    <w:link w:val="style67"/>
    <w:rPr>
      <w:rFonts w:ascii="Times New Roman" w:cs="Times New Roman" w:eastAsia="Calibri" w:hAnsi="Times New Roman"/>
      <w:sz w:val="20"/>
      <w:szCs w:val="20"/>
      <w:lang w:eastAsia="ru-RU"/>
    </w:rPr>
  </w:style>
  <w:style w:type="character" w:customStyle="1" w:styleId="style4098">
    <w:name w:val="Заголовок 2 Знак"/>
    <w:basedOn w:val="style65"/>
    <w:next w:val="style4098"/>
    <w:link w:val="style2"/>
    <w:rPr>
      <w:rFonts w:ascii="Times New Roman" w:cs="Times New Roman" w:eastAsia="Times New Roman" w:hAnsi="Times New Roman"/>
      <w:i/>
      <w:iCs/>
      <w:sz w:val="24"/>
      <w:szCs w:val="24"/>
      <w:lang w:eastAsia="ru-RU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Segoe UI" w:cs="Segoe UI" w:eastAsia="Times New Roman" w:hAnsi="Segoe UI"/>
      <w:sz w:val="18"/>
      <w:szCs w:val="18"/>
      <w:lang w:eastAsia="ru-RU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Верхний колонтитул Знак"/>
    <w:basedOn w:val="style65"/>
    <w:next w:val="style4100"/>
    <w:link w:val="style31"/>
    <w:uiPriority w:val="99"/>
    <w:rPr>
      <w:rFonts w:ascii="Calibri" w:cs="Times New Roman" w:eastAsia="Times New Roman" w:hAnsi="Calibri"/>
      <w:lang w:eastAsia="ru-RU"/>
    </w:rPr>
  </w:style>
  <w:style w:type="paragraph" w:styleId="style32">
    <w:name w:val="footer"/>
    <w:basedOn w:val="style0"/>
    <w:next w:val="style32"/>
    <w:link w:val="style4101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1">
    <w:name w:val="Нижний колонтитул Знак"/>
    <w:basedOn w:val="style65"/>
    <w:next w:val="style4101"/>
    <w:link w:val="style32"/>
    <w:uiPriority w:val="99"/>
    <w:rPr>
      <w:rFonts w:ascii="Calibri" w:cs="Times New Roman" w:eastAsia="Times New Roman" w:hAnsi="Calibri"/>
      <w:lang w:eastAsia="ru-RU"/>
    </w:rPr>
  </w:style>
  <w:style w:type="numbering" w:customStyle="1" w:styleId="style4102">
    <w:name w:val="Нет списка1"/>
    <w:next w:val="style107"/>
    <w:pPr/>
  </w:style>
  <w:style w:type="paragraph" w:styleId="style94">
    <w:name w:val="Normal (Web)"/>
    <w:basedOn w:val="style0"/>
    <w:next w:val="style94"/>
    <w:pPr>
      <w:spacing w:after="0" w:lineRule="auto" w:line="240"/>
      <w:ind w:firstLine="386"/>
      <w:jc w:val="both"/>
    </w:pPr>
    <w:rPr>
      <w:rFonts w:ascii="Arial Unicode MS" w:cs="Arial Unicode MS" w:hAnsi="Arial Unicode MS"/>
      <w:sz w:val="17"/>
      <w:szCs w:val="17"/>
    </w:rPr>
  </w:style>
  <w:style w:type="character" w:styleId="style87">
    <w:name w:val="Strong"/>
    <w:next w:val="style87"/>
    <w:qFormat/>
    <w:rPr>
      <w:rFonts w:cs="Times New Roman"/>
      <w:b/>
      <w:bCs/>
    </w:rPr>
  </w:style>
  <w:style w:type="character" w:customStyle="1" w:styleId="style4103">
    <w:name w:val="postbody"/>
    <w:next w:val="style4103"/>
    <w:rPr>
      <w:rFonts w:cs="Times New Roman"/>
    </w:rPr>
  </w:style>
  <w:style w:type="character" w:styleId="style41">
    <w:name w:val="page number"/>
    <w:basedOn w:val="style65"/>
    <w:next w:val="style41"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Основной текст Знак"/>
    <w:basedOn w:val="style65"/>
    <w:next w:val="style4104"/>
    <w:link w:val="style66"/>
    <w:uiPriority w:val="99"/>
    <w:rPr>
      <w:rFonts w:ascii="Calibri" w:cs="Times New Roman" w:eastAsia="Times New Roman" w:hAnsi="Calibri"/>
      <w:lang w:eastAsia="ru-RU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4082-E851-4A49-9502-0B24FB90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2706</Words>
  <Pages>14</Pages>
  <Characters>22271</Characters>
  <Application>WPS Office</Application>
  <DocSecurity>0</DocSecurity>
  <Paragraphs>615</Paragraphs>
  <ScaleCrop>false</ScaleCrop>
  <Company>SPecialiST RePack</Company>
  <LinksUpToDate>false</LinksUpToDate>
  <CharactersWithSpaces>25193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2019-03-31T12:32:42Z</dcterms:created>
  <dc:creator>1</dc:creator>
  <lastModifiedBy>Lenovo TAB 2 A10-70L</lastModifiedBy>
  <lastPrinted>2019-02-05T10:00:00Z</lastPrinted>
  <dcterms:modified xsi:type="dcterms:W3CDTF">2019-03-31T12:32:42Z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