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80" w:rsidRDefault="004A1F60" w:rsidP="004A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F60">
        <w:rPr>
          <w:rFonts w:ascii="Times New Roman" w:hAnsi="Times New Roman" w:cs="Times New Roman"/>
          <w:sz w:val="28"/>
          <w:szCs w:val="28"/>
        </w:rPr>
        <w:t>Документы по 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F60">
        <w:rPr>
          <w:rFonts w:ascii="Times New Roman" w:hAnsi="Times New Roman" w:cs="Times New Roman"/>
          <w:sz w:val="28"/>
          <w:szCs w:val="28"/>
        </w:rPr>
        <w:t>ТАА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1"/>
        <w:gridCol w:w="6604"/>
      </w:tblGrid>
      <w:tr w:rsidR="004A1F60" w:rsidRPr="00E06495" w:rsidTr="004A1F60">
        <w:tc>
          <w:tcPr>
            <w:tcW w:w="2122" w:type="dxa"/>
          </w:tcPr>
          <w:p w:rsidR="004A1F60" w:rsidRPr="00E06495" w:rsidRDefault="009B48D2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Номенклатурные группы</w:t>
            </w:r>
          </w:p>
        </w:tc>
        <w:tc>
          <w:tcPr>
            <w:tcW w:w="7223" w:type="dxa"/>
          </w:tcPr>
          <w:p w:rsidR="004A1F60" w:rsidRPr="00E06495" w:rsidRDefault="009B48D2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по качеству</w:t>
            </w:r>
          </w:p>
        </w:tc>
      </w:tr>
      <w:tr w:rsidR="004A1F60" w:rsidRPr="00E06495" w:rsidTr="004A1F60">
        <w:tc>
          <w:tcPr>
            <w:tcW w:w="2122" w:type="dxa"/>
          </w:tcPr>
          <w:p w:rsidR="004A1F60" w:rsidRPr="00E06495" w:rsidRDefault="004A1F60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5">
              <w:rPr>
                <w:rFonts w:ascii="Times New Roman" w:hAnsi="Times New Roman" w:cs="Times New Roman"/>
                <w:sz w:val="28"/>
                <w:szCs w:val="28"/>
              </w:rPr>
              <w:t>Все ТАА</w:t>
            </w:r>
          </w:p>
        </w:tc>
        <w:tc>
          <w:tcPr>
            <w:tcW w:w="7223" w:type="dxa"/>
          </w:tcPr>
          <w:p w:rsidR="004A1F60" w:rsidRPr="00E06495" w:rsidRDefault="004A1F60" w:rsidP="0026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56. По требованию покупателя фармацевтический работник должен ознакомить его с 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</w:t>
            </w: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</w:t>
            </w: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). Эти документы должны быть заверены подписью и печатью (при наличии) поставщика или продавца с указанием адреса его места нахождения и контактного телефона (раздел VII. Реализация товаров аптечного ассортимента, приказ 647н).</w:t>
            </w:r>
          </w:p>
        </w:tc>
      </w:tr>
      <w:tr w:rsidR="004A1F60" w:rsidRPr="00E06495" w:rsidTr="004A1F60">
        <w:tc>
          <w:tcPr>
            <w:tcW w:w="2122" w:type="dxa"/>
          </w:tcPr>
          <w:p w:rsidR="004A1F60" w:rsidRPr="00E06495" w:rsidRDefault="004A1F60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5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</w:tc>
        <w:tc>
          <w:tcPr>
            <w:tcW w:w="7223" w:type="dxa"/>
          </w:tcPr>
          <w:p w:rsidR="00417584" w:rsidRPr="00F17032" w:rsidRDefault="00417584" w:rsidP="00F17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29.11.2019 </w:t>
            </w:r>
            <w:r w:rsidRPr="00E064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для впервые произведенных в Российской Федерации или впервые ввозимых в Российскую Федерацию лекарственных препаратов</w:t>
            </w:r>
            <w:r w:rsidR="00F17032">
              <w:t xml:space="preserve"> </w:t>
            </w:r>
            <w:r w:rsidR="00F17032" w:rsidRPr="00F17032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РФ от 26.11.2019 N 1510 "О порядке ввода в гражданский оборот лекарственных препаратов для медицинского применения", (ред. от 15.12.2020)</w:t>
            </w:r>
            <w:r w:rsidRPr="00F170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39CF" w:rsidRPr="00E06495" w:rsidRDefault="00417584" w:rsidP="009825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производителя, подтверждающий качество лекарственного препарата</w:t>
            </w:r>
          </w:p>
        </w:tc>
      </w:tr>
      <w:tr w:rsidR="004A1F60" w:rsidRPr="00E06495" w:rsidTr="004A1F60">
        <w:tc>
          <w:tcPr>
            <w:tcW w:w="2122" w:type="dxa"/>
          </w:tcPr>
          <w:p w:rsidR="004A1F60" w:rsidRPr="00E06495" w:rsidRDefault="007B07CB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5">
              <w:rPr>
                <w:rFonts w:ascii="Times New Roman" w:hAnsi="Times New Roman" w:cs="Times New Roman"/>
                <w:sz w:val="28"/>
                <w:szCs w:val="28"/>
              </w:rPr>
              <w:t>ИЛП</w:t>
            </w:r>
          </w:p>
        </w:tc>
        <w:tc>
          <w:tcPr>
            <w:tcW w:w="7223" w:type="dxa"/>
          </w:tcPr>
          <w:p w:rsidR="00A2418C" w:rsidRDefault="00A2418C" w:rsidP="00A24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соответствии с пунктом 7 статьи 4 Федерального закона РФ от 12.04.2010 N 61-ФЗ "Об обращении лекарственных средств" к иммунобиологическим лекарственным препаратам относятся вакцины, анатоксины, токсины, сыворотки, иммуноглобулины и аллергены.</w:t>
            </w:r>
          </w:p>
          <w:p w:rsidR="00F17032" w:rsidRPr="00F17032" w:rsidRDefault="00262681" w:rsidP="00A2418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06495">
              <w:rPr>
                <w:rFonts w:ascii="Times New Roman" w:hAnsi="Times New Roman" w:cs="Times New Roman"/>
                <w:b/>
                <w:szCs w:val="20"/>
              </w:rPr>
              <w:t xml:space="preserve">С 29.11.2019 </w:t>
            </w:r>
            <w:r w:rsidRPr="00F17032">
              <w:rPr>
                <w:rFonts w:ascii="Times New Roman" w:hAnsi="Times New Roman" w:cs="Times New Roman"/>
                <w:b/>
                <w:szCs w:val="20"/>
                <w:u w:val="single"/>
              </w:rPr>
              <w:t>для впервые произведенных в Российской Федерации или впервые ввозимых в Российскую Федерацию иммунобиологических лекарственных препаратов</w:t>
            </w:r>
            <w:r w:rsidR="00F17032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  <w:r w:rsidR="00F17032" w:rsidRPr="00F17032">
              <w:rPr>
                <w:rFonts w:ascii="Times New Roman" w:hAnsi="Times New Roman" w:cs="Times New Roman"/>
                <w:szCs w:val="20"/>
              </w:rPr>
              <w:t>(постановление Правительства РФ от 26.11.2019 N 1510 "О порядке ввода в гражданский оборот лекарственных препаратов для медицинского применения", (ред. от 15.12.2020)</w:t>
            </w:r>
            <w:r w:rsidR="00A2418C">
              <w:rPr>
                <w:rFonts w:ascii="Times New Roman" w:hAnsi="Times New Roman" w:cs="Times New Roman"/>
                <w:szCs w:val="20"/>
              </w:rPr>
              <w:t xml:space="preserve">; </w:t>
            </w:r>
            <w:r w:rsidR="00A2418C" w:rsidRPr="00A2418C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28.01.2021 N 4</w:t>
            </w:r>
            <w:r w:rsidR="00A2418C">
              <w:rPr>
                <w:rFonts w:ascii="Times New Roman" w:hAnsi="Times New Roman" w:cs="Times New Roman"/>
              </w:rPr>
              <w:t xml:space="preserve"> </w:t>
            </w:r>
            <w:r w:rsidR="00A2418C" w:rsidRPr="00A2418C">
              <w:rPr>
                <w:rFonts w:ascii="Times New Roman" w:hAnsi="Times New Roman" w:cs="Times New Roman"/>
              </w:rPr>
              <w:t>"Об утверждении санитарных правил и норм СанПиН 3.3686-21 "Санитарно-эпидемиологические требования по профилактике инфекционных болезней"</w:t>
            </w:r>
            <w:r w:rsidR="00A2418C">
              <w:rPr>
                <w:rFonts w:ascii="Times New Roman" w:hAnsi="Times New Roman" w:cs="Times New Roman"/>
              </w:rPr>
              <w:t xml:space="preserve"> </w:t>
            </w:r>
            <w:r w:rsidR="00A2418C" w:rsidRPr="00A2418C">
              <w:rPr>
                <w:rFonts w:ascii="Times New Roman" w:hAnsi="Times New Roman" w:cs="Times New Roman"/>
              </w:rPr>
              <w:t>(ред. от 25.05.2022)</w:t>
            </w:r>
            <w:r w:rsidR="00F17032" w:rsidRPr="00F17032">
              <w:rPr>
                <w:rFonts w:ascii="Times New Roman" w:hAnsi="Times New Roman" w:cs="Times New Roman"/>
                <w:szCs w:val="20"/>
              </w:rPr>
              <w:t>:</w:t>
            </w:r>
          </w:p>
          <w:p w:rsidR="00417584" w:rsidRPr="00E06495" w:rsidRDefault="00417584" w:rsidP="00417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Разрешение на ввод в гражданский оборот серии или партии иммунобиологического лекарственного препарата  </w:t>
            </w:r>
          </w:p>
          <w:p w:rsidR="004A1F60" w:rsidRPr="00E06495" w:rsidRDefault="007B07CB" w:rsidP="00417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о соответствии серии или партии иммунобиологического лекарственного препарата требованиям, установленным при его государственной регистрации</w:t>
            </w:r>
          </w:p>
        </w:tc>
      </w:tr>
      <w:tr w:rsidR="004A1F60" w:rsidRPr="00E06495" w:rsidTr="004A1F60">
        <w:tc>
          <w:tcPr>
            <w:tcW w:w="2122" w:type="dxa"/>
          </w:tcPr>
          <w:p w:rsidR="004A1F60" w:rsidRPr="009B48D2" w:rsidRDefault="009B48D2" w:rsidP="009B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  <w:r w:rsidRPr="009B48D2">
              <w:rPr>
                <w:rFonts w:ascii="Times New Roman" w:hAnsi="Times New Roman" w:cs="Times New Roman"/>
                <w:sz w:val="28"/>
                <w:szCs w:val="28"/>
              </w:rPr>
              <w:t>пищев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B48D2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223" w:type="dxa"/>
          </w:tcPr>
          <w:p w:rsidR="004A1F60" w:rsidRPr="00E06495" w:rsidRDefault="004A1F60" w:rsidP="004A1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51.  </w:t>
            </w: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государственной регистрации, в котором указана область применения и использования, и документ производителя и (или) поставщика, подтверждающего безопасность продукта, - декларация о соответствии качества</w:t>
            </w: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 или реестр деклараций (VI. Процессы деятельности субъекта розничной торговли товарами аптечного ассортимента, приказ 647н)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К специализированной пищевой продукции относятся (ТР ТС 021/2011. Технический регламент Таможенного союза. О безопасности пищевой продукции. ст. 24 Государственная регистрация пищевой продукции, ред. от 14.07.2021):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1) пищевая продукция для детского питания, в том числе питьевая вода для детского питания;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4" w:history="1">
              <w:r w:rsidRPr="00E064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решения</w:t>
              </w:r>
            </w:hyperlink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 Совета Евразийской экономической комиссии от 14.07.2021 N 61)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2) пищевая продукция для диетического лечебного и диетического профилактического питания;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3) лечебно-столовые и лечебные природные минеральные воды;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(п. 3 в ред. </w:t>
            </w:r>
            <w:hyperlink r:id="rId5" w:history="1">
              <w:r w:rsidRPr="00E064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решения</w:t>
              </w:r>
            </w:hyperlink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 Совета Евразийской экономической комиссии от 14.07.2021 N 61)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пищевая продукция для питания спортсменов, беременных и кормящих женщин;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5) биологически активные добавки к пище (БАД).</w:t>
            </w:r>
          </w:p>
          <w:p w:rsidR="007B07CB" w:rsidRPr="00E06495" w:rsidRDefault="007B07CB" w:rsidP="007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Пищевая продукция, указанная в </w:t>
            </w:r>
            <w:hyperlink r:id="rId6" w:history="1">
              <w:r w:rsidRPr="00E064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части 1</w:t>
              </w:r>
            </w:hyperlink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, допускается к производству (изготовлению), хранению, перевозке (транспортированию) и реализации после ее государственной регистрации в установленном настоящим техническим регламентом порядке.</w:t>
            </w:r>
            <w:r w:rsidRPr="00E06495">
              <w:rPr>
                <w:rFonts w:ascii="Times New Roman" w:hAnsi="Times New Roman" w:cs="Times New Roman"/>
              </w:rPr>
              <w:t xml:space="preserve"> </w:t>
            </w: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специализированной пищевой продукции является бессрочной.</w:t>
            </w:r>
          </w:p>
        </w:tc>
      </w:tr>
      <w:tr w:rsidR="004A1F60" w:rsidRPr="00E06495" w:rsidTr="004A1F60">
        <w:tc>
          <w:tcPr>
            <w:tcW w:w="2122" w:type="dxa"/>
          </w:tcPr>
          <w:p w:rsidR="004A1F60" w:rsidRPr="00E06495" w:rsidRDefault="009739CF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</w:t>
            </w:r>
          </w:p>
        </w:tc>
        <w:tc>
          <w:tcPr>
            <w:tcW w:w="7223" w:type="dxa"/>
          </w:tcPr>
          <w:p w:rsidR="004A1F60" w:rsidRPr="00E06495" w:rsidRDefault="009739CF" w:rsidP="00C34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Регистрационное удостоверение на медицинское изделие</w:t>
            </w: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341BB" w:rsidRPr="00E0649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27.12.2012 N 1416 (ред. от 24.11.2020); "Об утверждении Правил государственной регистрации медицинских изделий"; Решение Совета Евразийской экономической комиссии от 12.02.2016 N 46 (ред. от 19.05.2022) "О Правилах регистрации и экспертизы безопасности, качества и эффективности медицинских изделий"</w:t>
            </w:r>
            <w:r w:rsidR="00DF4BA4"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приказ Росздравнадзора от 16.01.2013 N 40-Пр/13 (ред. от 10.07.2018)</w:t>
            </w:r>
            <w:r w:rsidR="00C341BB" w:rsidRPr="00E06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"Об утверждении формы регистрационного удостоверения на медицинское изделие"</w:t>
            </w:r>
          </w:p>
        </w:tc>
      </w:tr>
      <w:tr w:rsidR="00262681" w:rsidRPr="00E06495" w:rsidTr="004A1F60">
        <w:tc>
          <w:tcPr>
            <w:tcW w:w="2122" w:type="dxa"/>
          </w:tcPr>
          <w:p w:rsidR="00262681" w:rsidRPr="00E06495" w:rsidRDefault="00262681" w:rsidP="004A1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5">
              <w:rPr>
                <w:rFonts w:ascii="Times New Roman" w:hAnsi="Times New Roman" w:cs="Times New Roman"/>
                <w:sz w:val="28"/>
                <w:szCs w:val="28"/>
              </w:rPr>
              <w:t>Парфюмерно-косметическая продукция</w:t>
            </w:r>
          </w:p>
        </w:tc>
        <w:tc>
          <w:tcPr>
            <w:tcW w:w="7223" w:type="dxa"/>
          </w:tcPr>
          <w:p w:rsidR="00262681" w:rsidRDefault="00F17032" w:rsidP="00E06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F4BA4"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государственной регистрации выдается в отношении одного или нескольких названий парфюмерно-косметической продукции одного наименования и действует до внесения в это название и (или) рецептуру изменений, приводящих к изменениям показателей безопасности</w:t>
            </w:r>
          </w:p>
          <w:p w:rsidR="00E06495" w:rsidRDefault="00F17032" w:rsidP="00E06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E06495" w:rsidRPr="00E06495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Декларация о соответствии парфюмерно-косметической продукции требованиям настоящего технического регламента</w:t>
            </w:r>
          </w:p>
          <w:p w:rsidR="00F17032" w:rsidRPr="00F17032" w:rsidRDefault="00F17032" w:rsidP="00F1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32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единым знаком обращения продукции на рынке государств - членов ТС. Единый знак обращения наносится на каждую единицу продукции (потребительскую тару, ярлык, этикетку) и/или товаросопроводительную документацию.</w:t>
            </w:r>
          </w:p>
          <w:p w:rsidR="00E06495" w:rsidRPr="00E06495" w:rsidRDefault="00E06495" w:rsidP="00E06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95">
              <w:rPr>
                <w:rFonts w:ascii="Times New Roman" w:hAnsi="Times New Roman" w:cs="Times New Roman"/>
                <w:sz w:val="20"/>
                <w:szCs w:val="20"/>
              </w:rPr>
              <w:t>(ТР ТС 009/2011. Технический регламент Таможенного союза. О безопасности парфюмерно-косметической продукции, ред. от 22.12.2020)</w:t>
            </w:r>
          </w:p>
        </w:tc>
      </w:tr>
    </w:tbl>
    <w:p w:rsidR="004A1F60" w:rsidRPr="00E06495" w:rsidRDefault="004A1F60" w:rsidP="004A1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60" w:rsidRPr="00E06495" w:rsidRDefault="004A1F60" w:rsidP="004A1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495">
        <w:rPr>
          <w:rFonts w:ascii="Times New Roman" w:hAnsi="Times New Roman" w:cs="Times New Roman"/>
          <w:sz w:val="28"/>
          <w:szCs w:val="28"/>
        </w:rPr>
        <w:t>Предпродажная подготовка ТАА</w:t>
      </w:r>
    </w:p>
    <w:p w:rsidR="004A1F60" w:rsidRPr="00E06495" w:rsidRDefault="004A1F60" w:rsidP="004A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(VI. Процессы деятельности субъекта розничной торговли товарами аптечного ассортимента, приказ 647н)</w:t>
      </w:r>
    </w:p>
    <w:p w:rsidR="004A1F60" w:rsidRPr="00E06495" w:rsidRDefault="004A1F60" w:rsidP="004A1F60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b/>
        </w:rPr>
      </w:pPr>
      <w:r w:rsidRPr="00E06495">
        <w:rPr>
          <w:rFonts w:ascii="Times New Roman" w:hAnsi="Times New Roman" w:cs="Times New Roman"/>
          <w:b/>
        </w:rPr>
        <w:t>50. Товары аптечного ассортимента до подачи в торговую зону должны пройти предпродажную подготовку, которая включает распаковку, рассортировку и осмотр, проверку качества товара (по внешним признакам) и наличия необходимой информации о товаре и его поставщике.</w:t>
      </w:r>
    </w:p>
    <w:p w:rsidR="004A1F60" w:rsidRPr="00E06495" w:rsidRDefault="004A1F60" w:rsidP="004A1F60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</w:rPr>
      </w:pPr>
      <w:r w:rsidRPr="00E06495">
        <w:rPr>
          <w:rFonts w:ascii="Times New Roman" w:hAnsi="Times New Roman" w:cs="Times New Roman"/>
        </w:rPr>
        <w:t xml:space="preserve">51. Продукты лечебного, детского и диетического питания, биологически активные добавки являются пищевыми продуктами, которые до их подачи в торговую зону или иное место торговли должны быть освобождены от тары, оберточных и </w:t>
      </w:r>
      <w:proofErr w:type="spellStart"/>
      <w:r w:rsidRPr="00E06495">
        <w:rPr>
          <w:rFonts w:ascii="Times New Roman" w:hAnsi="Times New Roman" w:cs="Times New Roman"/>
        </w:rPr>
        <w:t>увязочных</w:t>
      </w:r>
      <w:proofErr w:type="spellEnd"/>
      <w:r w:rsidRPr="00E06495">
        <w:rPr>
          <w:rFonts w:ascii="Times New Roman" w:hAnsi="Times New Roman" w:cs="Times New Roman"/>
        </w:rPr>
        <w:t xml:space="preserve"> материалов, металлических клипс. Субъект розничной торговли должен также произвести проверку качества продуктов лечебного, детского и диетического питания, биологически активных добавок по внешним признакам, проверить наличие необходимой документации и информации, осуществить отбраковку и сортировку.</w:t>
      </w:r>
    </w:p>
    <w:p w:rsidR="004A1F60" w:rsidRPr="00E06495" w:rsidRDefault="004A1F60" w:rsidP="004A1F60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</w:rPr>
      </w:pPr>
      <w:r w:rsidRPr="00E06495">
        <w:rPr>
          <w:rFonts w:ascii="Times New Roman" w:hAnsi="Times New Roman" w:cs="Times New Roman"/>
        </w:rPr>
        <w:t>Торговля продуктами лечебного, детского и диетического питания, биологически активными добавками запрещается при нарушении целостности упаковки. Качество данной группы товаров подтверждается свидетельством о государственной регистрации, в котором указана область применения и использования, и документом производителя и (или) поставщика, подтверждающего безопасность продукта, - декларацией о соответствии качества или реестром деклараций.</w:t>
      </w:r>
    </w:p>
    <w:p w:rsidR="004A1F60" w:rsidRPr="00E06495" w:rsidRDefault="004A1F60" w:rsidP="004A1F60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</w:rPr>
      </w:pPr>
      <w:r w:rsidRPr="00E06495">
        <w:rPr>
          <w:rFonts w:ascii="Times New Roman" w:hAnsi="Times New Roman" w:cs="Times New Roman"/>
        </w:rPr>
        <w:t>В случае нарушения целостности упаковки, отсутствия полного пакета документов продукты лечебного, детского и диетического питания, биологически активные добавки подлежат возврату поставщику.</w:t>
      </w:r>
    </w:p>
    <w:p w:rsidR="004A1F60" w:rsidRPr="00E06495" w:rsidRDefault="004A1F60" w:rsidP="004A1F60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</w:rPr>
      </w:pPr>
      <w:r w:rsidRPr="00E06495">
        <w:rPr>
          <w:rFonts w:ascii="Times New Roman" w:hAnsi="Times New Roman" w:cs="Times New Roman"/>
        </w:rPr>
        <w:t>52. Дезинфицирующие средства до подачи их в торговую зону, размещения в месте продажи должны пройти предпродажную подготовку, которая включает освобождение от транспортной тары, сортировку, проверку целостности упаковки (в том числе функционирования аэрозольной упаковки) и качества товара по внешним признакам, наличия необходимой информации о дезинфицирующих средствах и его изготовителе, инструкций по применению.</w:t>
      </w:r>
    </w:p>
    <w:p w:rsidR="004A1F60" w:rsidRPr="00E06495" w:rsidRDefault="004A1F60" w:rsidP="004A1F60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</w:rPr>
      </w:pPr>
      <w:r w:rsidRPr="00E06495">
        <w:rPr>
          <w:rFonts w:ascii="Times New Roman" w:hAnsi="Times New Roman" w:cs="Times New Roman"/>
        </w:rPr>
        <w:t xml:space="preserve">Парфюмерно-косметическая продукция, подаваемая в торговую зону, должна соответствовать требованиям, определенным </w:t>
      </w:r>
      <w:hyperlink r:id="rId7">
        <w:r w:rsidRPr="00E06495">
          <w:rPr>
            <w:rFonts w:ascii="Times New Roman" w:hAnsi="Times New Roman" w:cs="Times New Roman"/>
            <w:color w:val="0000FF"/>
          </w:rPr>
          <w:t>Решением</w:t>
        </w:r>
      </w:hyperlink>
      <w:r w:rsidRPr="00E06495">
        <w:rPr>
          <w:rFonts w:ascii="Times New Roman" w:hAnsi="Times New Roman" w:cs="Times New Roman"/>
        </w:rPr>
        <w:t xml:space="preserve"> Комиссии Таможенного союза от 23 сентября 2011 г. N 799 "О принятии технического регламента Таможенного союза "О безопасности парфюмерно-косметической продукции".</w:t>
      </w:r>
    </w:p>
    <w:p w:rsidR="004A1F60" w:rsidRPr="00E06495" w:rsidRDefault="004A1F60" w:rsidP="004A1F60">
      <w:pPr>
        <w:pStyle w:val="ConsPlusNormal"/>
        <w:spacing w:line="200" w:lineRule="auto"/>
        <w:jc w:val="both"/>
        <w:rPr>
          <w:rFonts w:ascii="Times New Roman" w:hAnsi="Times New Roman" w:cs="Times New Roman"/>
        </w:rPr>
      </w:pPr>
    </w:p>
    <w:p w:rsidR="004A1F60" w:rsidRPr="00E06495" w:rsidRDefault="00DF4BA4" w:rsidP="004A1F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495">
        <w:rPr>
          <w:rFonts w:ascii="Times New Roman" w:hAnsi="Times New Roman" w:cs="Times New Roman"/>
          <w:sz w:val="28"/>
          <w:szCs w:val="28"/>
        </w:rPr>
        <w:t>Признаки  парфюмерно</w:t>
      </w:r>
      <w:proofErr w:type="gramEnd"/>
      <w:r w:rsidRPr="00E06495">
        <w:rPr>
          <w:rFonts w:ascii="Times New Roman" w:hAnsi="Times New Roman" w:cs="Times New Roman"/>
          <w:sz w:val="28"/>
          <w:szCs w:val="28"/>
        </w:rPr>
        <w:t>-косметической продукции</w:t>
      </w:r>
    </w:p>
    <w:p w:rsidR="00DF4BA4" w:rsidRDefault="00DF4BA4" w:rsidP="00DF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lastRenderedPageBreak/>
        <w:t>Признаками, характеризующими парфюмерно-косметическую продукцию, являются (ТР ТС 009/2011. Технический регламент Таможенного союза. О безопасности парфюмерно-косметической продукции, ред. от 22.12.2020):</w:t>
      </w:r>
    </w:p>
    <w:p w:rsidR="00E06495" w:rsidRPr="00E06495" w:rsidRDefault="00E06495" w:rsidP="00DF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6495">
        <w:rPr>
          <w:rFonts w:ascii="Times New Roman" w:hAnsi="Times New Roman" w:cs="Times New Roman"/>
          <w:b/>
          <w:sz w:val="20"/>
          <w:szCs w:val="20"/>
        </w:rPr>
        <w:t>Статья 2. Правила идентификации парфюмерно-косметической продукции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(выборочно)</w:t>
      </w:r>
    </w:p>
    <w:p w:rsidR="00DF4BA4" w:rsidRPr="00E06495" w:rsidRDefault="00DF4BA4" w:rsidP="00DF4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- способ применения продукции - парфюмерно-косметическая продукция предназначена исключительно для наружного нанесения на определенные части человеческого тела;</w:t>
      </w:r>
    </w:p>
    <w:p w:rsidR="00DF4BA4" w:rsidRPr="00E06495" w:rsidRDefault="00DF4BA4" w:rsidP="00DF4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- место нанесения продукции - парфюмерно-косметическая продукция наносится на кожу, волосы, ногти, губы, зубы, слизистую оболочку полости рта и наружные половые органы;</w:t>
      </w:r>
    </w:p>
    <w:p w:rsidR="00DF4BA4" w:rsidRDefault="00DF4BA4" w:rsidP="00DF4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- цели применения продукции (по отдельности или в любой комбинации) - очищение и/или изменение внешнего вида кожи, волос, ногтей, губ, зубов, слизистой оболочки полости рта и наружных половых органов без нарушения их целостности, придание им приятного запаха и/или коррекция запаха, поддержание их в нормальном функциональном состоянии.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Статья 6. Оценка соответствия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Перед выпуском в обращение на таможенной территории ТС парфюмерно-косметическая продукция подвергается процедуре оценки соответствия требованиям технического регламента ТС.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 в ред.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решения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Совета Евразийской экономической комиссии от 02.12.2015 N 91)</w:t>
      </w:r>
    </w:p>
    <w:p w:rsidR="00F17032" w:rsidRP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17032">
        <w:rPr>
          <w:rFonts w:ascii="Times New Roman" w:hAnsi="Times New Roman" w:cs="Times New Roman"/>
          <w:b/>
          <w:i/>
          <w:sz w:val="20"/>
          <w:szCs w:val="20"/>
        </w:rPr>
        <w:t>2. Оценка соответствия парфюмерно-косметической продукции требованиям технического регламента ТС проводится в следующих формах:</w:t>
      </w:r>
    </w:p>
    <w:p w:rsidR="00F17032" w:rsidRP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17032">
        <w:rPr>
          <w:rFonts w:ascii="Times New Roman" w:hAnsi="Times New Roman" w:cs="Times New Roman"/>
          <w:b/>
          <w:i/>
          <w:sz w:val="20"/>
          <w:szCs w:val="20"/>
        </w:rPr>
        <w:t xml:space="preserve">подтверждение соответствия в форме декларирования соответствия парфюмерно-косметической продукции, за исключением продукции, включенной в перечень согласно </w:t>
      </w:r>
      <w:hyperlink r:id="rId9" w:history="1">
        <w:r w:rsidRPr="00F17032">
          <w:rPr>
            <w:rFonts w:ascii="Times New Roman" w:hAnsi="Times New Roman" w:cs="Times New Roman"/>
            <w:b/>
            <w:i/>
            <w:color w:val="0000FF"/>
            <w:sz w:val="20"/>
            <w:szCs w:val="20"/>
          </w:rPr>
          <w:t>приложению 12</w:t>
        </w:r>
      </w:hyperlink>
      <w:r w:rsidRPr="00F17032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F17032" w:rsidRP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17032">
        <w:rPr>
          <w:rFonts w:ascii="Times New Roman" w:hAnsi="Times New Roman" w:cs="Times New Roman"/>
          <w:b/>
          <w:i/>
          <w:sz w:val="20"/>
          <w:szCs w:val="20"/>
        </w:rPr>
        <w:t xml:space="preserve">государственная регистрация парфюмерно-косметической продукции, включенной в перечень, предусмотренный </w:t>
      </w:r>
      <w:hyperlink r:id="rId10" w:history="1">
        <w:r w:rsidRPr="00F17032">
          <w:rPr>
            <w:rFonts w:ascii="Times New Roman" w:hAnsi="Times New Roman" w:cs="Times New Roman"/>
            <w:b/>
            <w:i/>
            <w:color w:val="0000FF"/>
            <w:sz w:val="20"/>
            <w:szCs w:val="20"/>
          </w:rPr>
          <w:t>приложением 12</w:t>
        </w:r>
      </w:hyperlink>
      <w:r w:rsidRPr="00F17032">
        <w:rPr>
          <w:rFonts w:ascii="Times New Roman" w:hAnsi="Times New Roman" w:cs="Times New Roman"/>
          <w:b/>
          <w:i/>
          <w:sz w:val="20"/>
          <w:szCs w:val="20"/>
        </w:rPr>
        <w:t xml:space="preserve"> к настоящему техническому регламенту ТС.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2 в ред.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решения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Совета Евразийской экономической комиссии от 02.12.2015 N 91)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Декларирование соответствия парфюмерно-косметической продукции, не включенной в перечень, предусмотренный </w:t>
      </w:r>
      <w:hyperlink r:id="rId1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приложением 12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настоящему техническому регламенту ТС, осуществляется по одной из следующих схем: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 3д - для серийно выпускаемой парфюмерно-косметической продукции;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 4д - для партии парфюмерно-косметической продукции;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 6д - для серийно выпускаемой парфюмерно-косметической продукции (при наличии у изготовителя сертифицированной системы менеджмента качества или производства продукции, сертифицированного на соответствие принципам надлежащей производственной практики (GMP)).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Декларация о соответствии парфюмерно-косметической продукции требованиям настоящего технического регламента ТС оформляется на одно или несколько названий парфюмерно-косметической продукции одного наименования.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Статья 7. </w:t>
      </w:r>
      <w:hyperlink r:id="rId1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Маркировка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единым знаком обращения продукции на рынке государств - членов Таможенного союза (выборочно)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Парфюмерно-косметическая продукция, соответствующая требованиям технического регламента ТС и прошедшая процедуру оценки соответствия должна иметь маркировку единым знаком обращения продукции на рынке государств - членов ТС.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Маркировка единым знаком обращения продукции на рынке государств - членов ТС осуществляется перед выпуском продукции в обращение на рынке.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Единый знак обращения продукции на рынке государств - членов ТС наносится на каждую единицу продукции (потребительскую тару, ярлык, этикетку) и/или товаросопроводительную документацию.</w:t>
      </w:r>
    </w:p>
    <w:p w:rsidR="00F17032" w:rsidRDefault="00F17032" w:rsidP="00F170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Единый знак обращения продукции на рынке государств - членов ТС наносится любым способом, обеспечивающим четкое и ясное изображение в течение всего срока годности парфюмерно-косметической продукции.</w:t>
      </w:r>
    </w:p>
    <w:p w:rsidR="00F17032" w:rsidRDefault="00F17032" w:rsidP="00E064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Приложение 12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к техническому регламенту ТС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"О безопасности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парфюмерно-косметической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продукции"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(ТР ТС 009/2011)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ПЕРЕЧЕНЬ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ПАРФЮМЕРНО-КОСМЕТИЧЕСКОЙ ПРОДУКЦИИ, ПОДЛЕЖАЩЕЙ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ГОСУДАРСТВЕННОЙ РЕГИСТРАЦИИ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Список изменяющих документов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(в ред. решения Совета Евразийской экономической комиссии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от 02.12.2015 N 91)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1. Парфюмерно-косметическая продукция для искусственного загара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2. Парфюмерно-косметическая продукция для отбеливания (осветления) кожи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lastRenderedPageBreak/>
        <w:t xml:space="preserve">3. Косметика для </w:t>
      </w:r>
      <w:proofErr w:type="spellStart"/>
      <w:r w:rsidRPr="00E06495">
        <w:rPr>
          <w:rFonts w:ascii="Times New Roman" w:hAnsi="Times New Roman" w:cs="Times New Roman"/>
          <w:sz w:val="20"/>
          <w:szCs w:val="20"/>
        </w:rPr>
        <w:t>татуажа</w:t>
      </w:r>
      <w:proofErr w:type="spellEnd"/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4. Интимная косметика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5. Парфюмерно-косметическая продукция индивидуальной защиты кожи от воздействия вредных производственных факторов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6. Детская косметика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 xml:space="preserve">7. Парфюмерно-косметическая продукция для химического окрашивания, осветления и </w:t>
      </w:r>
      <w:proofErr w:type="spellStart"/>
      <w:r w:rsidRPr="00E06495">
        <w:rPr>
          <w:rFonts w:ascii="Times New Roman" w:hAnsi="Times New Roman" w:cs="Times New Roman"/>
          <w:sz w:val="20"/>
          <w:szCs w:val="20"/>
        </w:rPr>
        <w:t>мелирования</w:t>
      </w:r>
      <w:proofErr w:type="spellEnd"/>
      <w:r w:rsidRPr="00E06495">
        <w:rPr>
          <w:rFonts w:ascii="Times New Roman" w:hAnsi="Times New Roman" w:cs="Times New Roman"/>
          <w:sz w:val="20"/>
          <w:szCs w:val="20"/>
        </w:rPr>
        <w:t xml:space="preserve"> волос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8. Парфюмерно-косметическая продукция для химической завивки и распрямления волос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 xml:space="preserve">9. Парфюмерно-косметическая продукция, произведенная с использованием </w:t>
      </w:r>
      <w:proofErr w:type="spellStart"/>
      <w:r w:rsidRPr="00E06495">
        <w:rPr>
          <w:rFonts w:ascii="Times New Roman" w:hAnsi="Times New Roman" w:cs="Times New Roman"/>
          <w:sz w:val="20"/>
          <w:szCs w:val="20"/>
        </w:rPr>
        <w:t>наноматериалов</w:t>
      </w:r>
      <w:proofErr w:type="spellEnd"/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10. Парфюмерно-косметическая продукция для депиляции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E06495">
        <w:rPr>
          <w:rFonts w:ascii="Times New Roman" w:hAnsi="Times New Roman" w:cs="Times New Roman"/>
          <w:sz w:val="20"/>
          <w:szCs w:val="20"/>
        </w:rPr>
        <w:t>Пилинги</w:t>
      </w:r>
      <w:proofErr w:type="spellEnd"/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12 Фторсодержащие средства гигиены полости рта, массовая доля фторидов в которых превышает 0,15% (для жидких средств гигиены полости рта - 0,05%) (в пересчете на молярную массу фтора)</w:t>
      </w:r>
    </w:p>
    <w:p w:rsidR="00E06495" w:rsidRP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(в ред. решения Совета Евразийской экономической комиссии от 02.12.2015 N 91)</w:t>
      </w:r>
    </w:p>
    <w:p w:rsidR="00E06495" w:rsidRDefault="00E06495" w:rsidP="00E0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95">
        <w:rPr>
          <w:rFonts w:ascii="Times New Roman" w:hAnsi="Times New Roman" w:cs="Times New Roman"/>
          <w:sz w:val="20"/>
          <w:szCs w:val="20"/>
        </w:rPr>
        <w:t>13. 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- 6,0%.</w:t>
      </w:r>
    </w:p>
    <w:p w:rsidR="00DF4BA4" w:rsidRPr="00E06495" w:rsidRDefault="00DF4BA4" w:rsidP="00DF4B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4BA4" w:rsidRPr="00E06495" w:rsidRDefault="00DF4BA4" w:rsidP="00D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BA4" w:rsidRPr="00E0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1D"/>
    <w:rsid w:val="00217780"/>
    <w:rsid w:val="00262681"/>
    <w:rsid w:val="00417584"/>
    <w:rsid w:val="004A1F60"/>
    <w:rsid w:val="007B07CB"/>
    <w:rsid w:val="009739CF"/>
    <w:rsid w:val="00982527"/>
    <w:rsid w:val="009B48D2"/>
    <w:rsid w:val="00A2418C"/>
    <w:rsid w:val="00C341BB"/>
    <w:rsid w:val="00D30A1D"/>
    <w:rsid w:val="00DF4BA4"/>
    <w:rsid w:val="00E06495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6BE4-F135-4A50-A51F-22C8B6BF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1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7FC2494F4E7D9D36B012CECDDA9C214AE48C26C6E3A5DE3B4260F33E8979EE76A406084B90F644BE8E457DD4FD8C6D478A0EC204440C5XC0FJ" TargetMode="External"/><Relationship Id="rId13" Type="http://schemas.openxmlformats.org/officeDocument/2006/relationships/hyperlink" Target="consultantplus://offline/ref=A259415CE061291489A8028419EF049A72A5877AF0B77A978DF372E04887CB31F2A9E2B21DD86924B14D431F059D63BF74532F6E46B9E1A3q7s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5262C4154A9C22DD5319F8B4CAB308E8FCDAFB20E58FBABDDA57619CA8A6D93F87227199DF681CBBAC11CFFBcDE5G" TargetMode="External"/><Relationship Id="rId12" Type="http://schemas.openxmlformats.org/officeDocument/2006/relationships/hyperlink" Target="consultantplus://offline/ref=CF37FC2494F4E7D9D36B012CECDDA9C216A048C26C6C3A5DE3B4260F33E8979EE76A406084BB0E634AE8E457DD4FD8C6D478A0EC204440C5XC0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C6D015C99FCC86500CBEDE45C5C2B96E3C250B8099EE13D9DE43058990E2EBCF627C725E628714FE578917234F55C87EFE5D8D47D325AYDWDH" TargetMode="External"/><Relationship Id="rId11" Type="http://schemas.openxmlformats.org/officeDocument/2006/relationships/hyperlink" Target="consultantplus://offline/ref=CF37FC2494F4E7D9D36B012CECDDA9C214AE48C26C6E3A5DE3B4260F33E8979EE76A406084B90F6743E8E457DD4FD8C6D478A0EC204440C5XC0FJ" TargetMode="External"/><Relationship Id="rId5" Type="http://schemas.openxmlformats.org/officeDocument/2006/relationships/hyperlink" Target="consultantplus://offline/ref=CC517A33BE09DCB7C2690911511E38D21275FC8851CC4FB508D3AEE8844C17C40A755A63F5BCFF57EA36AB177C91F08B03181FE4058AAD35OEQ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37FC2494F4E7D9D36B012CECDDA9C216A048C26C6C3A5DE3B4260F33E8979EE76A406084BB0E634AE8E457DD4FD8C6D478A0EC204440C5XC0FJ" TargetMode="External"/><Relationship Id="rId4" Type="http://schemas.openxmlformats.org/officeDocument/2006/relationships/hyperlink" Target="consultantplus://offline/ref=CC517A33BE09DCB7C2690911511E38D21275FC8851CC4FB508D3AEE8844C17C40A755A63F5BCFF57E936AB177C91F08B03181FE4058AAD35OEQ6H" TargetMode="External"/><Relationship Id="rId9" Type="http://schemas.openxmlformats.org/officeDocument/2006/relationships/hyperlink" Target="consultantplus://offline/ref=CF37FC2494F4E7D9D36B012CECDDA9C216A048C26C6C3A5DE3B4260F33E8979EE76A406084BB0E634AE8E457DD4FD8C6D478A0EC204440C5XC0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3</cp:revision>
  <cp:lastPrinted>2022-09-22T09:20:00Z</cp:lastPrinted>
  <dcterms:created xsi:type="dcterms:W3CDTF">2022-09-22T06:51:00Z</dcterms:created>
  <dcterms:modified xsi:type="dcterms:W3CDTF">2022-12-23T07:55:00Z</dcterms:modified>
</cp:coreProperties>
</file>