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C9C1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2E2CCE7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7F9DE3D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17CF7B5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DBA8BE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95B63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27D518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CAC615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C1EDEC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75678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54D82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0F57C3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4AAB28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8FC4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D752BF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323B62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C10153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00BB6E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C748B6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E1556FF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3B74749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9367C69" w14:textId="77777777" w:rsidR="00314700" w:rsidRPr="00C35800" w:rsidRDefault="00E00D61" w:rsidP="00314700">
      <w:pPr>
        <w:jc w:val="center"/>
        <w:rPr>
          <w:sz w:val="28"/>
          <w:u w:val="single"/>
        </w:rPr>
      </w:pPr>
      <w:r>
        <w:rPr>
          <w:sz w:val="28"/>
          <w:u w:val="single"/>
        </w:rPr>
        <w:t>Токсикологическая</w:t>
      </w:r>
      <w:r w:rsidR="00314700" w:rsidRPr="00C35800">
        <w:rPr>
          <w:sz w:val="28"/>
          <w:u w:val="single"/>
        </w:rPr>
        <w:t xml:space="preserve"> химия</w:t>
      </w:r>
    </w:p>
    <w:p w14:paraId="5A4F8728" w14:textId="77777777" w:rsidR="00314700" w:rsidRPr="00C35800" w:rsidRDefault="00314700" w:rsidP="00314700">
      <w:pPr>
        <w:jc w:val="center"/>
        <w:rPr>
          <w:sz w:val="28"/>
        </w:rPr>
      </w:pPr>
    </w:p>
    <w:p w14:paraId="38010085" w14:textId="77777777" w:rsidR="00314700" w:rsidRPr="00C35800" w:rsidRDefault="00314700" w:rsidP="00314700">
      <w:pPr>
        <w:jc w:val="center"/>
        <w:rPr>
          <w:sz w:val="28"/>
        </w:rPr>
      </w:pPr>
    </w:p>
    <w:p w14:paraId="197DB2E1" w14:textId="77777777" w:rsidR="00314700" w:rsidRPr="00C35800" w:rsidRDefault="00314700" w:rsidP="00314700">
      <w:pPr>
        <w:jc w:val="center"/>
        <w:rPr>
          <w:caps/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>по специальности</w:t>
      </w:r>
    </w:p>
    <w:p w14:paraId="06441CEF" w14:textId="77777777" w:rsidR="00314700" w:rsidRPr="00C35800" w:rsidRDefault="00314700" w:rsidP="00314700">
      <w:pPr>
        <w:jc w:val="center"/>
        <w:rPr>
          <w:b/>
          <w:caps/>
          <w:color w:val="000000"/>
          <w:sz w:val="28"/>
          <w:szCs w:val="28"/>
        </w:rPr>
      </w:pPr>
    </w:p>
    <w:p w14:paraId="7E16C354" w14:textId="77777777" w:rsidR="00314700" w:rsidRPr="00C35800" w:rsidRDefault="00314700" w:rsidP="00314700">
      <w:pPr>
        <w:jc w:val="center"/>
        <w:rPr>
          <w:b/>
          <w:i/>
          <w:color w:val="000000"/>
          <w:sz w:val="28"/>
          <w:szCs w:val="28"/>
        </w:rPr>
      </w:pPr>
      <w:r w:rsidRPr="00C35800">
        <w:rPr>
          <w:i/>
          <w:color w:val="000000"/>
          <w:sz w:val="28"/>
          <w:szCs w:val="28"/>
        </w:rPr>
        <w:t>33.05.01 Фармация</w:t>
      </w:r>
    </w:p>
    <w:p w14:paraId="4A506ACC" w14:textId="77777777" w:rsidR="00314700" w:rsidRPr="00C35800" w:rsidRDefault="00314700" w:rsidP="00314700">
      <w:pPr>
        <w:jc w:val="center"/>
        <w:rPr>
          <w:sz w:val="28"/>
        </w:rPr>
      </w:pPr>
    </w:p>
    <w:p w14:paraId="0A1DE290" w14:textId="77777777" w:rsidR="00314700" w:rsidRPr="00C35800" w:rsidRDefault="00314700" w:rsidP="00314700">
      <w:pPr>
        <w:jc w:val="center"/>
        <w:rPr>
          <w:sz w:val="28"/>
        </w:rPr>
      </w:pPr>
    </w:p>
    <w:p w14:paraId="3789689C" w14:textId="77777777" w:rsidR="00314700" w:rsidRPr="00C35800" w:rsidRDefault="00314700" w:rsidP="00314700">
      <w:pPr>
        <w:jc w:val="center"/>
        <w:rPr>
          <w:sz w:val="28"/>
        </w:rPr>
      </w:pPr>
    </w:p>
    <w:p w14:paraId="2D7EE84A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78A21A86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7DE076FE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2741F944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29047D72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2C4D4CCA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2C87BB13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6E208BA3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7199CDD8" w14:textId="77777777" w:rsidR="00314700" w:rsidRPr="00C35800" w:rsidRDefault="00314700" w:rsidP="00314700">
      <w:pPr>
        <w:jc w:val="center"/>
        <w:rPr>
          <w:sz w:val="24"/>
          <w:szCs w:val="24"/>
        </w:rPr>
      </w:pPr>
    </w:p>
    <w:p w14:paraId="347ACB62" w14:textId="77777777" w:rsidR="00314700" w:rsidRPr="00C35800" w:rsidRDefault="00314700" w:rsidP="00314700">
      <w:pPr>
        <w:ind w:firstLine="709"/>
        <w:rPr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C35800">
        <w:rPr>
          <w:i/>
          <w:color w:val="000000"/>
          <w:sz w:val="28"/>
          <w:szCs w:val="28"/>
        </w:rPr>
        <w:t>33.05.01 Фармация</w:t>
      </w:r>
      <w:r w:rsidRPr="00C35800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C35800">
        <w:rPr>
          <w:color w:val="000000"/>
          <w:sz w:val="28"/>
          <w:szCs w:val="28"/>
        </w:rPr>
        <w:t>ОрГМУ</w:t>
      </w:r>
      <w:proofErr w:type="spellEnd"/>
      <w:r w:rsidRPr="00C35800">
        <w:rPr>
          <w:color w:val="000000"/>
          <w:sz w:val="28"/>
          <w:szCs w:val="28"/>
        </w:rPr>
        <w:t xml:space="preserve"> Минздрава России</w:t>
      </w:r>
    </w:p>
    <w:p w14:paraId="65D94870" w14:textId="77777777" w:rsidR="00314700" w:rsidRPr="00C35800" w:rsidRDefault="00314700" w:rsidP="00314700">
      <w:pPr>
        <w:jc w:val="both"/>
        <w:rPr>
          <w:color w:val="000000"/>
          <w:sz w:val="28"/>
          <w:szCs w:val="28"/>
        </w:rPr>
      </w:pPr>
    </w:p>
    <w:p w14:paraId="5BBCE8B9" w14:textId="77777777" w:rsidR="00314700" w:rsidRPr="00C35800" w:rsidRDefault="00314700" w:rsidP="00314700">
      <w:pPr>
        <w:jc w:val="center"/>
        <w:rPr>
          <w:color w:val="000000"/>
          <w:sz w:val="28"/>
          <w:szCs w:val="28"/>
        </w:rPr>
      </w:pPr>
      <w:r w:rsidRPr="00C35800">
        <w:rPr>
          <w:color w:val="000000"/>
          <w:sz w:val="28"/>
          <w:szCs w:val="28"/>
        </w:rPr>
        <w:t xml:space="preserve">протокол № </w:t>
      </w:r>
      <w:proofErr w:type="gramStart"/>
      <w:r w:rsidRPr="00C35800">
        <w:rPr>
          <w:color w:val="000000"/>
          <w:sz w:val="28"/>
          <w:szCs w:val="28"/>
        </w:rPr>
        <w:t>11  от</w:t>
      </w:r>
      <w:proofErr w:type="gramEnd"/>
      <w:r w:rsidRPr="00C35800">
        <w:rPr>
          <w:color w:val="000000"/>
          <w:sz w:val="28"/>
          <w:szCs w:val="28"/>
        </w:rPr>
        <w:t xml:space="preserve"> « 22 » июня 2018 года  </w:t>
      </w:r>
    </w:p>
    <w:p w14:paraId="7938DA98" w14:textId="77777777" w:rsidR="00314700" w:rsidRPr="00C35800" w:rsidRDefault="00314700" w:rsidP="00314700">
      <w:pPr>
        <w:ind w:firstLine="709"/>
        <w:jc w:val="center"/>
        <w:rPr>
          <w:sz w:val="28"/>
          <w:szCs w:val="28"/>
        </w:rPr>
      </w:pPr>
    </w:p>
    <w:p w14:paraId="1526EDCF" w14:textId="77777777" w:rsidR="00314700" w:rsidRPr="00C35800" w:rsidRDefault="00314700" w:rsidP="00314700">
      <w:pPr>
        <w:ind w:firstLine="709"/>
        <w:jc w:val="center"/>
        <w:rPr>
          <w:sz w:val="28"/>
          <w:szCs w:val="28"/>
        </w:rPr>
      </w:pPr>
    </w:p>
    <w:p w14:paraId="117DE9F4" w14:textId="77777777" w:rsidR="00314700" w:rsidRPr="00C35800" w:rsidRDefault="00314700" w:rsidP="00314700">
      <w:pPr>
        <w:ind w:firstLine="709"/>
        <w:jc w:val="center"/>
        <w:rPr>
          <w:sz w:val="28"/>
          <w:szCs w:val="28"/>
        </w:rPr>
      </w:pPr>
    </w:p>
    <w:p w14:paraId="2685019F" w14:textId="77777777" w:rsidR="00314700" w:rsidRPr="00C35800" w:rsidRDefault="00314700" w:rsidP="00314700">
      <w:pPr>
        <w:ind w:firstLine="709"/>
        <w:jc w:val="center"/>
        <w:rPr>
          <w:sz w:val="28"/>
          <w:szCs w:val="28"/>
        </w:rPr>
      </w:pPr>
    </w:p>
    <w:p w14:paraId="579BEB48" w14:textId="77777777" w:rsidR="00314700" w:rsidRPr="00C35800" w:rsidRDefault="00314700" w:rsidP="00314700">
      <w:pPr>
        <w:ind w:firstLine="709"/>
        <w:jc w:val="center"/>
        <w:rPr>
          <w:sz w:val="28"/>
          <w:szCs w:val="28"/>
        </w:rPr>
      </w:pPr>
      <w:r w:rsidRPr="00C35800">
        <w:rPr>
          <w:sz w:val="28"/>
          <w:szCs w:val="28"/>
        </w:rPr>
        <w:t>Оренбург</w:t>
      </w:r>
    </w:p>
    <w:p w14:paraId="139DFDA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F19AB7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6D4CBDB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2C9D4430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84D9EA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4CD70B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186A382F" w14:textId="77777777"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5E3DBE">
        <w:rPr>
          <w:sz w:val="28"/>
        </w:rPr>
        <w:t>:</w:t>
      </w:r>
      <w:r>
        <w:rPr>
          <w:sz w:val="28"/>
        </w:rPr>
        <w:t xml:space="preserve"> </w:t>
      </w:r>
    </w:p>
    <w:p w14:paraId="3DFA27C9" w14:textId="77777777" w:rsidR="005E3DBE" w:rsidRDefault="005E3DBE" w:rsidP="005E3DBE">
      <w:pPr>
        <w:ind w:firstLine="709"/>
        <w:jc w:val="both"/>
        <w:rPr>
          <w:sz w:val="28"/>
        </w:rPr>
      </w:pPr>
      <w:r>
        <w:rPr>
          <w:sz w:val="28"/>
        </w:rPr>
        <w:t xml:space="preserve">В результате выполнения самостоятельной работы по дисциплине «Биологическая химия» </w:t>
      </w:r>
      <w:r w:rsidRPr="005E3DBE">
        <w:rPr>
          <w:sz w:val="28"/>
        </w:rPr>
        <w:t>обучающийся должен</w:t>
      </w:r>
      <w:r>
        <w:rPr>
          <w:sz w:val="28"/>
        </w:rPr>
        <w:t>:</w:t>
      </w:r>
    </w:p>
    <w:p w14:paraId="40D51326" w14:textId="77777777" w:rsidR="005E3DBE" w:rsidRPr="005E3DBE" w:rsidRDefault="005E3DBE" w:rsidP="005E3DBE">
      <w:pPr>
        <w:pStyle w:val="aa"/>
        <w:numPr>
          <w:ilvl w:val="0"/>
          <w:numId w:val="13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Систематизировать знания по основным модулям дисциплины;</w:t>
      </w:r>
    </w:p>
    <w:p w14:paraId="494C7D6F" w14:textId="77777777" w:rsidR="005E3DBE" w:rsidRPr="005E3DBE" w:rsidRDefault="005E3DBE" w:rsidP="005E3DBE">
      <w:pPr>
        <w:pStyle w:val="aa"/>
        <w:numPr>
          <w:ilvl w:val="0"/>
          <w:numId w:val="13"/>
        </w:numPr>
        <w:ind w:left="0" w:firstLine="0"/>
        <w:contextualSpacing/>
        <w:jc w:val="both"/>
        <w:rPr>
          <w:sz w:val="28"/>
        </w:rPr>
      </w:pPr>
      <w:r w:rsidRPr="005E3DBE">
        <w:rPr>
          <w:sz w:val="28"/>
        </w:rPr>
        <w:t>сформировать понимания единства метаболических процессов в целом организме на основе системных знаний о химическом строении живых организмов и физико-химических процессах, обеспечивающих их жизнедеятельность, и углубленных представлений о взаимосвязях между регулирующими стимулами и механизмами регуляции процессов жизнедеятельности на молекулярном и клеточном</w:t>
      </w:r>
    </w:p>
    <w:p w14:paraId="1674E2FE" w14:textId="77777777" w:rsidR="005E3DBE" w:rsidRDefault="005E3DBE" w:rsidP="005E3DBE">
      <w:pPr>
        <w:jc w:val="both"/>
        <w:rPr>
          <w:sz w:val="28"/>
        </w:rPr>
      </w:pPr>
      <w:r>
        <w:rPr>
          <w:sz w:val="28"/>
        </w:rPr>
        <w:t>уровне;</w:t>
      </w:r>
    </w:p>
    <w:p w14:paraId="1D34F1AF" w14:textId="77777777" w:rsidR="004B2C94" w:rsidRPr="005E3DBE" w:rsidRDefault="005E3DBE" w:rsidP="005E3DBE">
      <w:pPr>
        <w:pStyle w:val="aa"/>
        <w:numPr>
          <w:ilvl w:val="0"/>
          <w:numId w:val="13"/>
        </w:numPr>
        <w:ind w:left="0" w:firstLine="709"/>
        <w:contextualSpacing/>
        <w:jc w:val="both"/>
        <w:rPr>
          <w:sz w:val="28"/>
        </w:rPr>
      </w:pPr>
      <w:r w:rsidRPr="005E3DBE">
        <w:rPr>
          <w:sz w:val="28"/>
        </w:rPr>
        <w:t>сформировать умение освоение алгоритма поиска информации и алгоритма работы по заданному образцу, умение абстрагироваться от второстепенного материала, тренировать умение выделять существенные</w:t>
      </w:r>
      <w:r>
        <w:rPr>
          <w:sz w:val="28"/>
        </w:rPr>
        <w:t xml:space="preserve"> </w:t>
      </w:r>
      <w:r w:rsidRPr="005E3DBE">
        <w:rPr>
          <w:sz w:val="28"/>
        </w:rPr>
        <w:t>признаки.</w:t>
      </w:r>
    </w:p>
    <w:p w14:paraId="13287E06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13776F8B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7FEE649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38D5609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6CE7C4DE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67"/>
        <w:gridCol w:w="1844"/>
        <w:gridCol w:w="1727"/>
        <w:gridCol w:w="1808"/>
      </w:tblGrid>
      <w:tr w:rsidR="006F14A4" w:rsidRPr="00787520" w14:paraId="3D83E643" w14:textId="77777777" w:rsidTr="001A701A">
        <w:tc>
          <w:tcPr>
            <w:tcW w:w="675" w:type="dxa"/>
            <w:shd w:val="clear" w:color="auto" w:fill="auto"/>
          </w:tcPr>
          <w:p w14:paraId="12785916" w14:textId="77777777" w:rsidR="006F14A4" w:rsidRPr="00787520" w:rsidRDefault="006F14A4" w:rsidP="00033367">
            <w:pPr>
              <w:ind w:firstLine="709"/>
              <w:jc w:val="center"/>
              <w:rPr>
                <w:sz w:val="28"/>
              </w:rPr>
            </w:pPr>
            <w:r w:rsidRPr="00787520">
              <w:rPr>
                <w:sz w:val="28"/>
              </w:rPr>
              <w:t>№</w:t>
            </w:r>
          </w:p>
        </w:tc>
        <w:tc>
          <w:tcPr>
            <w:tcW w:w="4367" w:type="dxa"/>
            <w:shd w:val="clear" w:color="auto" w:fill="auto"/>
          </w:tcPr>
          <w:p w14:paraId="2DFE4BC7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Тема самостоятельной </w:t>
            </w:r>
          </w:p>
          <w:p w14:paraId="0FADE045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работы </w:t>
            </w:r>
          </w:p>
        </w:tc>
        <w:tc>
          <w:tcPr>
            <w:tcW w:w="1844" w:type="dxa"/>
            <w:shd w:val="clear" w:color="auto" w:fill="auto"/>
          </w:tcPr>
          <w:p w14:paraId="1C817BC7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Форма </w:t>
            </w:r>
          </w:p>
          <w:p w14:paraId="2E764A6D" w14:textId="77777777" w:rsidR="006F14A4" w:rsidRPr="0078752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787520">
              <w:rPr>
                <w:sz w:val="28"/>
              </w:rPr>
              <w:t>самостоятельной работы</w:t>
            </w:r>
            <w:r w:rsidR="009978D9" w:rsidRPr="00787520">
              <w:rPr>
                <w:sz w:val="28"/>
                <w:vertAlign w:val="superscript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14:paraId="0B11F5DE" w14:textId="77777777" w:rsidR="00F55788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Форма контроля самостоятельной работы</w:t>
            </w:r>
          </w:p>
          <w:p w14:paraId="4B11F6F3" w14:textId="77777777" w:rsidR="006F14A4" w:rsidRPr="00787520" w:rsidRDefault="00F55788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 xml:space="preserve"> </w:t>
            </w:r>
            <w:r w:rsidRPr="00787520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787520">
              <w:rPr>
                <w:sz w:val="28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14:paraId="0B3BB60D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 xml:space="preserve">Форма </w:t>
            </w:r>
          </w:p>
          <w:p w14:paraId="0CC3C82C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контактной </w:t>
            </w:r>
          </w:p>
          <w:p w14:paraId="4DE30358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работы при </w:t>
            </w:r>
          </w:p>
          <w:p w14:paraId="19042C20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проведении </w:t>
            </w:r>
          </w:p>
          <w:p w14:paraId="501D8358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 xml:space="preserve">текущего </w:t>
            </w:r>
          </w:p>
          <w:p w14:paraId="174497E5" w14:textId="77777777" w:rsidR="006F14A4" w:rsidRPr="0078752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787520">
              <w:rPr>
                <w:sz w:val="28"/>
              </w:rPr>
              <w:lastRenderedPageBreak/>
              <w:t>контроля</w:t>
            </w:r>
            <w:r w:rsidR="009978D9" w:rsidRPr="00787520">
              <w:rPr>
                <w:sz w:val="28"/>
                <w:vertAlign w:val="superscript"/>
              </w:rPr>
              <w:t>2</w:t>
            </w:r>
          </w:p>
        </w:tc>
      </w:tr>
      <w:tr w:rsidR="006F14A4" w:rsidRPr="00787520" w14:paraId="1A67DD8B" w14:textId="77777777" w:rsidTr="001A701A">
        <w:tc>
          <w:tcPr>
            <w:tcW w:w="675" w:type="dxa"/>
            <w:shd w:val="clear" w:color="auto" w:fill="auto"/>
          </w:tcPr>
          <w:p w14:paraId="0825696A" w14:textId="77777777" w:rsidR="006F14A4" w:rsidRPr="00787520" w:rsidRDefault="006F14A4" w:rsidP="00033367">
            <w:pPr>
              <w:ind w:firstLine="709"/>
              <w:jc w:val="center"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>1</w:t>
            </w:r>
          </w:p>
        </w:tc>
        <w:tc>
          <w:tcPr>
            <w:tcW w:w="4367" w:type="dxa"/>
            <w:shd w:val="clear" w:color="auto" w:fill="auto"/>
          </w:tcPr>
          <w:p w14:paraId="1E49CF84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10AAC3C9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14:paraId="0225BEC7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14:paraId="7D149A14" w14:textId="77777777" w:rsidR="006F14A4" w:rsidRPr="00787520" w:rsidRDefault="006F14A4" w:rsidP="00F55788">
            <w:pPr>
              <w:jc w:val="center"/>
              <w:rPr>
                <w:sz w:val="28"/>
              </w:rPr>
            </w:pPr>
            <w:r w:rsidRPr="00787520">
              <w:rPr>
                <w:sz w:val="28"/>
              </w:rPr>
              <w:t>5</w:t>
            </w:r>
          </w:p>
        </w:tc>
      </w:tr>
      <w:tr w:rsidR="009978D9" w:rsidRPr="00787520" w14:paraId="3D872D79" w14:textId="77777777" w:rsidTr="001A701A">
        <w:tc>
          <w:tcPr>
            <w:tcW w:w="10421" w:type="dxa"/>
            <w:gridSpan w:val="5"/>
            <w:shd w:val="clear" w:color="auto" w:fill="auto"/>
          </w:tcPr>
          <w:p w14:paraId="1DAAD3AC" w14:textId="77777777" w:rsidR="009978D9" w:rsidRPr="00787520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787520">
              <w:rPr>
                <w:i/>
                <w:sz w:val="28"/>
              </w:rPr>
              <w:t>Самостоятел</w:t>
            </w:r>
            <w:r w:rsidR="00693E11" w:rsidRPr="00787520">
              <w:rPr>
                <w:i/>
                <w:sz w:val="28"/>
              </w:rPr>
              <w:t>ьная работа в рамках м</w:t>
            </w:r>
            <w:r w:rsidRPr="00787520">
              <w:rPr>
                <w:i/>
                <w:sz w:val="28"/>
              </w:rPr>
              <w:t xml:space="preserve">одуля </w:t>
            </w:r>
            <w:r w:rsidRPr="00787520">
              <w:rPr>
                <w:i/>
                <w:sz w:val="28"/>
                <w:vertAlign w:val="superscript"/>
              </w:rPr>
              <w:t>4</w:t>
            </w:r>
          </w:p>
        </w:tc>
      </w:tr>
      <w:tr w:rsidR="00165AEA" w:rsidRPr="00787520" w14:paraId="6B2A39CD" w14:textId="77777777" w:rsidTr="001A701A">
        <w:tc>
          <w:tcPr>
            <w:tcW w:w="675" w:type="dxa"/>
            <w:shd w:val="clear" w:color="auto" w:fill="auto"/>
          </w:tcPr>
          <w:p w14:paraId="05E85972" w14:textId="77777777"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14:paraId="3DBC1FC3" w14:textId="77777777" w:rsidR="00165AEA" w:rsidRPr="00787520" w:rsidRDefault="00165AEA" w:rsidP="00464ACD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464ACD">
              <w:rPr>
                <w:sz w:val="28"/>
                <w:szCs w:val="28"/>
              </w:rPr>
              <w:t>Общие вопросы токсикологической химии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751B6244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3695B028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2793C646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14:paraId="6B4EDBB8" w14:textId="77777777" w:rsidTr="001A701A">
        <w:tc>
          <w:tcPr>
            <w:tcW w:w="675" w:type="dxa"/>
            <w:shd w:val="clear" w:color="auto" w:fill="auto"/>
          </w:tcPr>
          <w:p w14:paraId="4DF86D86" w14:textId="77777777"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14:paraId="4E8E97DA" w14:textId="6B887CE8" w:rsidR="00165AEA" w:rsidRPr="00787520" w:rsidRDefault="00165AEA" w:rsidP="00464ACD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Модуль «</w:t>
            </w:r>
            <w:r w:rsidR="001A701A">
              <w:rPr>
                <w:sz w:val="28"/>
                <w:szCs w:val="28"/>
              </w:rPr>
              <w:t>Химико-токсикологический анализ</w:t>
            </w:r>
            <w:r w:rsidR="00464ACD">
              <w:rPr>
                <w:sz w:val="28"/>
                <w:szCs w:val="28"/>
              </w:rPr>
              <w:t xml:space="preserve"> веществ, изолируемы</w:t>
            </w:r>
            <w:r w:rsidR="001A701A">
              <w:rPr>
                <w:sz w:val="28"/>
                <w:szCs w:val="28"/>
              </w:rPr>
              <w:t>х</w:t>
            </w:r>
            <w:r w:rsidR="00464ACD">
              <w:rPr>
                <w:sz w:val="28"/>
                <w:szCs w:val="28"/>
              </w:rPr>
              <w:t xml:space="preserve"> дистилляци</w:t>
            </w:r>
            <w:r w:rsidR="001A701A">
              <w:rPr>
                <w:sz w:val="28"/>
                <w:szCs w:val="28"/>
              </w:rPr>
              <w:t>ей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4F646ECB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5AFB5176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76711566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14:paraId="1A750501" w14:textId="77777777" w:rsidTr="001A701A">
        <w:tc>
          <w:tcPr>
            <w:tcW w:w="675" w:type="dxa"/>
            <w:shd w:val="clear" w:color="auto" w:fill="auto"/>
          </w:tcPr>
          <w:p w14:paraId="4B5010D0" w14:textId="77777777" w:rsidR="00165AEA" w:rsidRPr="00787520" w:rsidRDefault="00165AEA" w:rsidP="00165AE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14:paraId="59A1D5DA" w14:textId="6F48AA62" w:rsidR="00165AEA" w:rsidRPr="00787520" w:rsidRDefault="00165AEA" w:rsidP="00464ACD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 xml:space="preserve">Модуль </w:t>
            </w:r>
            <w:r w:rsidR="001A701A">
              <w:rPr>
                <w:sz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3095E151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00F1A118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50BDBFD4" w14:textId="77777777" w:rsidR="00165AEA" w:rsidRPr="00787520" w:rsidRDefault="00165AEA" w:rsidP="00165AE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65AEA" w:rsidRPr="00787520" w14:paraId="49E24D79" w14:textId="77777777" w:rsidTr="001A701A">
        <w:tc>
          <w:tcPr>
            <w:tcW w:w="10421" w:type="dxa"/>
            <w:gridSpan w:val="5"/>
            <w:shd w:val="clear" w:color="auto" w:fill="auto"/>
          </w:tcPr>
          <w:p w14:paraId="18AE8A22" w14:textId="77777777" w:rsidR="00165AEA" w:rsidRPr="00787520" w:rsidRDefault="00165AEA" w:rsidP="00F55788">
            <w:pPr>
              <w:ind w:right="-293"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14:paraId="7AF5FC70" w14:textId="77777777" w:rsidR="00165AEA" w:rsidRPr="00787520" w:rsidRDefault="00165AEA" w:rsidP="007505B0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 w:rsidR="007505B0">
              <w:rPr>
                <w:sz w:val="28"/>
                <w:szCs w:val="28"/>
              </w:rPr>
              <w:t>Общие вопросы токсикологической химии</w:t>
            </w:r>
            <w:r w:rsidRPr="00787520">
              <w:rPr>
                <w:sz w:val="28"/>
              </w:rPr>
              <w:t>»</w:t>
            </w:r>
            <w:r w:rsidRPr="00787520">
              <w:rPr>
                <w:i/>
                <w:sz w:val="28"/>
              </w:rPr>
              <w:t xml:space="preserve"> </w:t>
            </w:r>
          </w:p>
        </w:tc>
      </w:tr>
      <w:tr w:rsidR="001A701A" w:rsidRPr="00787520" w14:paraId="30A3A0B9" w14:textId="77777777" w:rsidTr="001A701A">
        <w:tc>
          <w:tcPr>
            <w:tcW w:w="675" w:type="dxa"/>
            <w:shd w:val="clear" w:color="auto" w:fill="auto"/>
          </w:tcPr>
          <w:p w14:paraId="09C2ED4F" w14:textId="77777777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 w:rsidRPr="00787520">
              <w:rPr>
                <w:sz w:val="28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14:paraId="7B53FFFA" w14:textId="416B301D" w:rsidR="001A701A" w:rsidRPr="007505B0" w:rsidRDefault="001A701A" w:rsidP="001A701A">
            <w:pPr>
              <w:rPr>
                <w:sz w:val="28"/>
              </w:rPr>
            </w:pPr>
            <w:r w:rsidRPr="007505B0">
              <w:rPr>
                <w:sz w:val="28"/>
              </w:rPr>
              <w:t>Тема «</w:t>
            </w:r>
            <w:r w:rsidRPr="001A701A">
              <w:rPr>
                <w:sz w:val="28"/>
              </w:rPr>
              <w:t>Правила и порядок работы в лаборатории, требования безопасности. Введение в токсикологическую химию. Химико-токсикологический анализ, основные направления использования, специфические особенности ХТА. Классификация ядовитых и сильнодействующих веществ в токсикологической химии. Объекты исследования</w:t>
            </w:r>
            <w:r w:rsidRPr="007505B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60900F4E" w14:textId="4FE71FA6" w:rsidR="001A701A" w:rsidRPr="007505B0" w:rsidRDefault="001A701A" w:rsidP="001A701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11A81C59" w14:textId="104D2B29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79544337" w14:textId="1861BD4A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0B9ECD4D" w14:textId="77777777" w:rsidTr="001A701A">
        <w:tc>
          <w:tcPr>
            <w:tcW w:w="675" w:type="dxa"/>
            <w:shd w:val="clear" w:color="auto" w:fill="auto"/>
          </w:tcPr>
          <w:p w14:paraId="39F9F364" w14:textId="6070C249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14:paraId="44FB1560" w14:textId="2DB33231" w:rsidR="001A701A" w:rsidRPr="007505B0" w:rsidRDefault="001A701A" w:rsidP="001A701A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1A701A">
              <w:rPr>
                <w:sz w:val="28"/>
              </w:rPr>
              <w:t>Ядовитые вещества как предмет изучения токсикологической химии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6F6FD9BE" w14:textId="75F35B23" w:rsidR="001A701A" w:rsidRPr="00787520" w:rsidRDefault="001A701A" w:rsidP="001A701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 xml:space="preserve">работа над учебным материалом (учебника, </w:t>
            </w:r>
            <w:r w:rsidRPr="00787520">
              <w:rPr>
                <w:sz w:val="28"/>
              </w:rPr>
              <w:lastRenderedPageBreak/>
              <w:t>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31012E02" w14:textId="13FC5710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154ED06E" w14:textId="52A4B257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</w:t>
            </w:r>
            <w:r w:rsidRPr="00787520">
              <w:rPr>
                <w:sz w:val="28"/>
              </w:rPr>
              <w:lastRenderedPageBreak/>
              <w:t>образовательной среде</w:t>
            </w:r>
          </w:p>
        </w:tc>
      </w:tr>
      <w:tr w:rsidR="001A701A" w:rsidRPr="00787520" w14:paraId="379354BB" w14:textId="77777777" w:rsidTr="001A701A">
        <w:tc>
          <w:tcPr>
            <w:tcW w:w="675" w:type="dxa"/>
            <w:shd w:val="clear" w:color="auto" w:fill="auto"/>
          </w:tcPr>
          <w:p w14:paraId="710DA25E" w14:textId="489392BA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367" w:type="dxa"/>
            <w:shd w:val="clear" w:color="auto" w:fill="auto"/>
          </w:tcPr>
          <w:p w14:paraId="331AF453" w14:textId="574811C8" w:rsidR="001A701A" w:rsidRPr="007505B0" w:rsidRDefault="001A701A" w:rsidP="001A701A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1A701A">
              <w:rPr>
                <w:sz w:val="28"/>
              </w:rPr>
              <w:t xml:space="preserve">Биохимическая токсикология. </w:t>
            </w:r>
            <w:proofErr w:type="spellStart"/>
            <w:r w:rsidRPr="001A701A">
              <w:rPr>
                <w:sz w:val="28"/>
              </w:rPr>
              <w:t>Токсикокинетика</w:t>
            </w:r>
            <w:proofErr w:type="spellEnd"/>
            <w:r w:rsidRPr="001A701A">
              <w:rPr>
                <w:sz w:val="28"/>
              </w:rPr>
              <w:t xml:space="preserve"> и </w:t>
            </w:r>
            <w:proofErr w:type="spellStart"/>
            <w:r w:rsidRPr="001A701A">
              <w:rPr>
                <w:sz w:val="28"/>
              </w:rPr>
              <w:t>биотрансформация</w:t>
            </w:r>
            <w:proofErr w:type="spellEnd"/>
            <w:r w:rsidRPr="001A701A">
              <w:rPr>
                <w:sz w:val="28"/>
              </w:rPr>
              <w:t xml:space="preserve"> лекарственных веществ, </w:t>
            </w:r>
            <w:proofErr w:type="spellStart"/>
            <w:r w:rsidRPr="001A701A">
              <w:rPr>
                <w:sz w:val="28"/>
              </w:rPr>
              <w:t>токсикокинетические</w:t>
            </w:r>
            <w:proofErr w:type="spellEnd"/>
            <w:r w:rsidRPr="001A701A">
              <w:rPr>
                <w:sz w:val="28"/>
              </w:rPr>
              <w:t xml:space="preserve"> параметры. Общая характеристика 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2C1BD784" w14:textId="4E2669F2" w:rsidR="001A701A" w:rsidRPr="00787520" w:rsidRDefault="001A701A" w:rsidP="001A701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4327A1BE" w14:textId="32BB3F75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6274D81A" w14:textId="547E3D79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0DE6BB14" w14:textId="77777777" w:rsidTr="001A701A">
        <w:tc>
          <w:tcPr>
            <w:tcW w:w="675" w:type="dxa"/>
            <w:shd w:val="clear" w:color="auto" w:fill="auto"/>
          </w:tcPr>
          <w:p w14:paraId="2A266A5E" w14:textId="61745FFF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14:paraId="1ECB6939" w14:textId="0202301D" w:rsidR="001A701A" w:rsidRPr="007505B0" w:rsidRDefault="001A701A" w:rsidP="001A701A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1A701A">
              <w:rPr>
                <w:sz w:val="28"/>
              </w:rPr>
              <w:t>Основные методы детоксикации организма при острых отравлениях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7C9077B6" w14:textId="190D564D" w:rsidR="001A701A" w:rsidRPr="00787520" w:rsidRDefault="001A701A" w:rsidP="001A701A">
            <w:pPr>
              <w:contextualSpacing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4D4D704F" w14:textId="2FB47D9F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2EDA75D2" w14:textId="3A4418B3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29D786A3" w14:textId="77777777" w:rsidTr="001A701A">
        <w:tc>
          <w:tcPr>
            <w:tcW w:w="10421" w:type="dxa"/>
            <w:gridSpan w:val="5"/>
            <w:shd w:val="clear" w:color="auto" w:fill="auto"/>
          </w:tcPr>
          <w:p w14:paraId="1059A9E8" w14:textId="77777777" w:rsidR="001A701A" w:rsidRPr="00787520" w:rsidRDefault="001A701A" w:rsidP="001A701A">
            <w:pPr>
              <w:ind w:right="-293"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14:paraId="5AD7F4CF" w14:textId="47167008" w:rsidR="001A701A" w:rsidRPr="00787520" w:rsidRDefault="001A701A" w:rsidP="001A701A">
            <w:pPr>
              <w:contextualSpacing/>
              <w:jc w:val="both"/>
              <w:rPr>
                <w:i/>
                <w:iCs/>
                <w:sz w:val="28"/>
              </w:rPr>
            </w:pPr>
            <w:r w:rsidRPr="00787520">
              <w:rPr>
                <w:i/>
                <w:sz w:val="28"/>
              </w:rPr>
              <w:t xml:space="preserve">модуля </w:t>
            </w:r>
            <w:r w:rsidRPr="0078752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Химико-токсикологический анализ веществ, изолируемых дистилляцией</w:t>
            </w:r>
            <w:r w:rsidRPr="00787520">
              <w:rPr>
                <w:sz w:val="28"/>
              </w:rPr>
              <w:t>»</w:t>
            </w:r>
          </w:p>
        </w:tc>
      </w:tr>
      <w:tr w:rsidR="001A701A" w:rsidRPr="00787520" w14:paraId="7C6CFBA2" w14:textId="77777777" w:rsidTr="001A701A">
        <w:tc>
          <w:tcPr>
            <w:tcW w:w="675" w:type="dxa"/>
            <w:shd w:val="clear" w:color="auto" w:fill="auto"/>
          </w:tcPr>
          <w:p w14:paraId="4C54E219" w14:textId="64E5E1D6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14:paraId="6F72AC7A" w14:textId="47BCFE9C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505B0">
              <w:rPr>
                <w:sz w:val="28"/>
              </w:rPr>
              <w:t>Тема «</w:t>
            </w:r>
            <w:r w:rsidRPr="001A701A">
              <w:rPr>
                <w:sz w:val="28"/>
              </w:rPr>
              <w:t>Химико-токсикологический анализ на группу веществ, изолируемых дистилляцией. «Летучие» яды. Подготовка биологических образцов к исследованию. Метод изолирования. Аппаратура и техника работы</w:t>
            </w:r>
            <w:r w:rsidRPr="007505B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1D4FA488" w14:textId="76C3954C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1367B194" w14:textId="5F458896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0C1428C6" w14:textId="534F590E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28FA6512" w14:textId="77777777" w:rsidTr="001A701A">
        <w:tc>
          <w:tcPr>
            <w:tcW w:w="675" w:type="dxa"/>
            <w:shd w:val="clear" w:color="auto" w:fill="auto"/>
          </w:tcPr>
          <w:p w14:paraId="7BFE6F88" w14:textId="76BA0DBA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7" w:type="dxa"/>
            <w:shd w:val="clear" w:color="auto" w:fill="auto"/>
          </w:tcPr>
          <w:p w14:paraId="6B09B402" w14:textId="62E3C118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505B0">
              <w:rPr>
                <w:sz w:val="28"/>
              </w:rPr>
              <w:t>Тема «</w:t>
            </w:r>
            <w:r w:rsidRPr="001A701A">
              <w:rPr>
                <w:sz w:val="28"/>
              </w:rPr>
              <w:t>Этиловый спирт в химико-токсикологическом отношении. Экспертиза алкогольного опьянения. Газохроматографический метод для разделения, идентификации и количественного определения летучих ядов</w:t>
            </w:r>
            <w:r w:rsidRPr="007505B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6E4B9773" w14:textId="10B2CE77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64FE182D" w14:textId="4FD4A14F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02F26ADD" w14:textId="68980FCE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7B3E503F" w14:textId="77777777" w:rsidTr="001A701A">
        <w:tc>
          <w:tcPr>
            <w:tcW w:w="675" w:type="dxa"/>
            <w:shd w:val="clear" w:color="auto" w:fill="auto"/>
          </w:tcPr>
          <w:p w14:paraId="290433A4" w14:textId="4D0AA0DF" w:rsidR="001A701A" w:rsidRPr="00787520" w:rsidRDefault="001A701A" w:rsidP="001A701A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67" w:type="dxa"/>
            <w:shd w:val="clear" w:color="auto" w:fill="auto"/>
          </w:tcPr>
          <w:p w14:paraId="213DEBBA" w14:textId="6A901D62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505B0">
              <w:rPr>
                <w:sz w:val="28"/>
              </w:rPr>
              <w:t>Тема «</w:t>
            </w:r>
            <w:r w:rsidRPr="001A701A">
              <w:rPr>
                <w:sz w:val="28"/>
              </w:rPr>
              <w:t>Выполнение учебной экспертизы по обнаружению летучих ядов (изолирование из объекта исследования, анализ дистиллятов). Оформление акта судебно-химического исследования</w:t>
            </w:r>
            <w:r w:rsidRPr="007505B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5F890D8B" w14:textId="186BA081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27D97892" w14:textId="382E878C" w:rsidR="001A701A" w:rsidRPr="007505B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5CF3422B" w14:textId="2870867B" w:rsidR="001A701A" w:rsidRPr="00787520" w:rsidRDefault="001A701A" w:rsidP="001A701A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A701A" w:rsidRPr="00787520" w14:paraId="07DDA3D9" w14:textId="77777777" w:rsidTr="001A701A">
        <w:tc>
          <w:tcPr>
            <w:tcW w:w="10421" w:type="dxa"/>
            <w:gridSpan w:val="5"/>
            <w:shd w:val="clear" w:color="auto" w:fill="auto"/>
          </w:tcPr>
          <w:p w14:paraId="45E66788" w14:textId="77777777" w:rsidR="001A701A" w:rsidRPr="00787520" w:rsidRDefault="001A701A" w:rsidP="001A701A">
            <w:pPr>
              <w:ind w:right="-293"/>
              <w:jc w:val="center"/>
              <w:rPr>
                <w:i/>
                <w:sz w:val="28"/>
              </w:rPr>
            </w:pPr>
            <w:r w:rsidRPr="00787520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занятий</w:t>
            </w:r>
          </w:p>
          <w:p w14:paraId="3BA6C4EE" w14:textId="67BC7D42" w:rsidR="001A701A" w:rsidRPr="00490FF8" w:rsidRDefault="001A701A" w:rsidP="001A701A">
            <w:pPr>
              <w:contextualSpacing/>
              <w:jc w:val="center"/>
              <w:rPr>
                <w:sz w:val="28"/>
              </w:rPr>
            </w:pPr>
            <w:r w:rsidRPr="00787520">
              <w:rPr>
                <w:i/>
                <w:sz w:val="28"/>
              </w:rPr>
              <w:t>модуля</w:t>
            </w:r>
            <w:r>
              <w:rPr>
                <w:i/>
                <w:sz w:val="28"/>
              </w:rPr>
              <w:t xml:space="preserve"> 3</w:t>
            </w:r>
          </w:p>
        </w:tc>
      </w:tr>
      <w:tr w:rsidR="0070621B" w:rsidRPr="00787520" w14:paraId="7118AD98" w14:textId="77777777" w:rsidTr="001A701A">
        <w:tc>
          <w:tcPr>
            <w:tcW w:w="675" w:type="dxa"/>
            <w:shd w:val="clear" w:color="auto" w:fill="auto"/>
          </w:tcPr>
          <w:p w14:paraId="5CE376F3" w14:textId="167FAFD7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67" w:type="dxa"/>
            <w:shd w:val="clear" w:color="auto" w:fill="auto"/>
          </w:tcPr>
          <w:p w14:paraId="1D572E2F" w14:textId="5F08489C" w:rsidR="0070621B" w:rsidRPr="007505B0" w:rsidRDefault="0070621B" w:rsidP="0070621B">
            <w:pPr>
              <w:contextualSpacing/>
              <w:jc w:val="both"/>
              <w:rPr>
                <w:sz w:val="28"/>
              </w:rPr>
            </w:pPr>
            <w:r w:rsidRPr="007505B0">
              <w:rPr>
                <w:sz w:val="28"/>
              </w:rPr>
              <w:t>Тема «</w:t>
            </w:r>
            <w:r w:rsidRPr="0070621B">
              <w:rPr>
                <w:sz w:val="28"/>
              </w:rPr>
              <w:t>Химико-токсикологический анализ веществ, изолируемых методом минерализации. Методы количественного определения металлических ядов. Частный метод обнаружения и определения иона ртути</w:t>
            </w:r>
            <w:r w:rsidRPr="007505B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349375C0" w14:textId="285AF2FD" w:rsidR="0070621B" w:rsidRPr="007505B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181914D4" w14:textId="63A1FE55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1540C6D6" w14:textId="1523685F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70621B" w:rsidRPr="00787520" w14:paraId="7C7E947F" w14:textId="77777777" w:rsidTr="001A701A">
        <w:tc>
          <w:tcPr>
            <w:tcW w:w="675" w:type="dxa"/>
            <w:shd w:val="clear" w:color="auto" w:fill="auto"/>
          </w:tcPr>
          <w:p w14:paraId="5AC8A6B7" w14:textId="290B5ACA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67" w:type="dxa"/>
            <w:shd w:val="clear" w:color="auto" w:fill="auto"/>
          </w:tcPr>
          <w:p w14:paraId="5EB0961E" w14:textId="1DE03C3D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Тема «</w:t>
            </w:r>
            <w:r w:rsidRPr="0070621B">
              <w:rPr>
                <w:sz w:val="28"/>
              </w:rPr>
              <w:t>Общий (ненаправленный) химико-токсикологический анализ веществ кислого и основного характера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377BDC5C" w14:textId="6A9B7E86" w:rsidR="0070621B" w:rsidRPr="00490FF8" w:rsidRDefault="0070621B" w:rsidP="0070621B">
            <w:pPr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25C178A2" w14:textId="5EF0FCAC" w:rsidR="0070621B" w:rsidRPr="00490FF8" w:rsidRDefault="0070621B" w:rsidP="0070621B">
            <w:pPr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0A3DB612" w14:textId="2F0BE7D7" w:rsidR="0070621B" w:rsidRPr="00787520" w:rsidRDefault="0070621B" w:rsidP="0070621B"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70621B" w:rsidRPr="00787520" w14:paraId="389EDD3A" w14:textId="77777777" w:rsidTr="001A701A">
        <w:tc>
          <w:tcPr>
            <w:tcW w:w="675" w:type="dxa"/>
            <w:shd w:val="clear" w:color="auto" w:fill="auto"/>
          </w:tcPr>
          <w:p w14:paraId="1F13C2AD" w14:textId="72C17230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67" w:type="dxa"/>
            <w:shd w:val="clear" w:color="auto" w:fill="auto"/>
          </w:tcPr>
          <w:p w14:paraId="5420281C" w14:textId="30B8238E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Тема «</w:t>
            </w:r>
            <w:r w:rsidRPr="0070621B">
              <w:rPr>
                <w:sz w:val="28"/>
              </w:rPr>
              <w:t>Направленный химико-токсикологический анализ веществ кислого и слабоосновного характера</w:t>
            </w:r>
            <w:r w:rsidRPr="00787520"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70AF9C07" w14:textId="7944E29F" w:rsidR="0070621B" w:rsidRPr="00490FF8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1C019AED" w14:textId="1B10F9BB" w:rsidR="0070621B" w:rsidRPr="00490FF8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04A13C9C" w14:textId="1360E580" w:rsidR="0070621B" w:rsidRPr="00787520" w:rsidRDefault="0070621B" w:rsidP="0070621B"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70621B" w:rsidRPr="00787520" w14:paraId="5041EF0F" w14:textId="77777777" w:rsidTr="001A701A">
        <w:tc>
          <w:tcPr>
            <w:tcW w:w="675" w:type="dxa"/>
            <w:shd w:val="clear" w:color="auto" w:fill="auto"/>
          </w:tcPr>
          <w:p w14:paraId="6C723463" w14:textId="6A3AEF69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67" w:type="dxa"/>
            <w:shd w:val="clear" w:color="auto" w:fill="auto"/>
          </w:tcPr>
          <w:p w14:paraId="7450BC13" w14:textId="0423E036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0621B">
              <w:rPr>
                <w:sz w:val="28"/>
              </w:rPr>
              <w:t>Направленный химико-токсикологический анализ веществ основного характера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584C221B" w14:textId="24CDF5DD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7BC553BA" w14:textId="0C5DDDEE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5C29F251" w14:textId="0817A13F" w:rsidR="0070621B" w:rsidRPr="00787520" w:rsidRDefault="0070621B" w:rsidP="0070621B">
            <w:pPr>
              <w:rPr>
                <w:i/>
                <w:iCs/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70621B" w:rsidRPr="00787520" w14:paraId="7BC362E7" w14:textId="77777777" w:rsidTr="001A701A">
        <w:tc>
          <w:tcPr>
            <w:tcW w:w="675" w:type="dxa"/>
            <w:shd w:val="clear" w:color="auto" w:fill="auto"/>
          </w:tcPr>
          <w:p w14:paraId="0DB58AF6" w14:textId="6EECCE66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67" w:type="dxa"/>
            <w:shd w:val="clear" w:color="auto" w:fill="auto"/>
          </w:tcPr>
          <w:p w14:paraId="08A0CA60" w14:textId="39653E46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0621B">
              <w:rPr>
                <w:sz w:val="28"/>
              </w:rPr>
              <w:t>Химико-токсикологический анализ производных 1,4-бензодиазепина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1B807189" w14:textId="229DE44E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29905223" w14:textId="1E4C49F2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20ABD97D" w14:textId="6FBD98EF" w:rsidR="0070621B" w:rsidRPr="00787520" w:rsidRDefault="0070621B" w:rsidP="0070621B">
            <w:pPr>
              <w:rPr>
                <w:i/>
                <w:iCs/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70621B" w:rsidRPr="00787520" w14:paraId="64EBEDF3" w14:textId="77777777" w:rsidTr="001A701A">
        <w:tc>
          <w:tcPr>
            <w:tcW w:w="675" w:type="dxa"/>
            <w:shd w:val="clear" w:color="auto" w:fill="auto"/>
          </w:tcPr>
          <w:p w14:paraId="0C7CDFEE" w14:textId="44C3FDE5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67" w:type="dxa"/>
            <w:shd w:val="clear" w:color="auto" w:fill="auto"/>
          </w:tcPr>
          <w:p w14:paraId="2DA759E5" w14:textId="43AD5466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0621B">
              <w:rPr>
                <w:sz w:val="28"/>
              </w:rPr>
              <w:t>Химико-токсикологический анализ при отравлении наркотическими средствами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08307505" w14:textId="2A977124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 xml:space="preserve">работа над учебным материалом (учебника, </w:t>
            </w:r>
            <w:r w:rsidRPr="00787520">
              <w:rPr>
                <w:sz w:val="28"/>
              </w:rPr>
              <w:lastRenderedPageBreak/>
              <w:t>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4605F797" w14:textId="0EDC403C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lastRenderedPageBreak/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6DF82D3A" w14:textId="3298E7B8" w:rsidR="0070621B" w:rsidRPr="00787520" w:rsidRDefault="0070621B" w:rsidP="0070621B">
            <w:pPr>
              <w:rPr>
                <w:i/>
                <w:iCs/>
                <w:sz w:val="28"/>
              </w:rPr>
            </w:pPr>
            <w:r w:rsidRPr="00787520">
              <w:rPr>
                <w:sz w:val="28"/>
              </w:rPr>
              <w:t>в Информационной электронно-</w:t>
            </w:r>
            <w:r w:rsidRPr="00787520">
              <w:rPr>
                <w:sz w:val="28"/>
              </w:rPr>
              <w:lastRenderedPageBreak/>
              <w:t>образовательной среде</w:t>
            </w:r>
          </w:p>
        </w:tc>
      </w:tr>
      <w:tr w:rsidR="0070621B" w:rsidRPr="00787520" w14:paraId="7959719A" w14:textId="77777777" w:rsidTr="001A701A">
        <w:tc>
          <w:tcPr>
            <w:tcW w:w="675" w:type="dxa"/>
            <w:shd w:val="clear" w:color="auto" w:fill="auto"/>
          </w:tcPr>
          <w:p w14:paraId="4A146210" w14:textId="70EC49AB" w:rsidR="0070621B" w:rsidRPr="00787520" w:rsidRDefault="0070621B" w:rsidP="0070621B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4367" w:type="dxa"/>
            <w:shd w:val="clear" w:color="auto" w:fill="auto"/>
          </w:tcPr>
          <w:p w14:paraId="0B02D10A" w14:textId="23F380A4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0621B">
              <w:rPr>
                <w:sz w:val="28"/>
              </w:rPr>
              <w:t>Химико-токсикологический анализ веществ, изолируемых экстракцией. Пестициды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14:paraId="061A1C37" w14:textId="3ACCB80B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727" w:type="dxa"/>
            <w:shd w:val="clear" w:color="auto" w:fill="auto"/>
          </w:tcPr>
          <w:p w14:paraId="32B92A92" w14:textId="5ABD6339" w:rsidR="0070621B" w:rsidRPr="00787520" w:rsidRDefault="0070621B" w:rsidP="0070621B">
            <w:pPr>
              <w:contextualSpacing/>
              <w:jc w:val="both"/>
              <w:rPr>
                <w:sz w:val="28"/>
              </w:rPr>
            </w:pPr>
            <w:r w:rsidRPr="00787520">
              <w:rPr>
                <w:sz w:val="28"/>
              </w:rPr>
              <w:t>тестирование</w:t>
            </w:r>
          </w:p>
        </w:tc>
        <w:tc>
          <w:tcPr>
            <w:tcW w:w="1808" w:type="dxa"/>
            <w:shd w:val="clear" w:color="auto" w:fill="auto"/>
          </w:tcPr>
          <w:p w14:paraId="04A2EC8C" w14:textId="2E946AC2" w:rsidR="0070621B" w:rsidRPr="00787520" w:rsidRDefault="0070621B" w:rsidP="0070621B">
            <w:pPr>
              <w:rPr>
                <w:i/>
                <w:iCs/>
                <w:sz w:val="28"/>
              </w:rPr>
            </w:pPr>
            <w:r w:rsidRPr="00787520">
              <w:rPr>
                <w:sz w:val="28"/>
              </w:rPr>
              <w:t>в Информационной электронно-образовательной среде</w:t>
            </w:r>
          </w:p>
        </w:tc>
      </w:tr>
    </w:tbl>
    <w:p w14:paraId="59183B9E" w14:textId="77777777" w:rsidR="009978D9" w:rsidRDefault="009978D9" w:rsidP="00F5136B">
      <w:pPr>
        <w:ind w:firstLine="709"/>
        <w:jc w:val="both"/>
        <w:rPr>
          <w:sz w:val="28"/>
        </w:rPr>
      </w:pPr>
    </w:p>
    <w:p w14:paraId="11B3FAE3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40AC8BD0" w14:textId="77777777"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367C90FE" w14:textId="77777777"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63D31F5C" w14:textId="77777777" w:rsidR="00D05E0E" w:rsidRPr="009C4A0D" w:rsidRDefault="00D05E0E" w:rsidP="00D05E0E">
      <w:pPr>
        <w:ind w:firstLine="709"/>
        <w:jc w:val="both"/>
        <w:rPr>
          <w:color w:val="000000"/>
          <w:sz w:val="10"/>
          <w:szCs w:val="28"/>
        </w:rPr>
      </w:pPr>
    </w:p>
    <w:p w14:paraId="35670A61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4D05EBAD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772F2DC7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7FC14A4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4CB0C067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33D20DAE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1C639305" w14:textId="77777777" w:rsidR="00D05E0E" w:rsidRPr="006E062D" w:rsidRDefault="00D05E0E" w:rsidP="00D05E0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330BF33F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6C7F75DA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70D90E59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52086ABC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27F3989F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4732DBEF" w14:textId="77777777" w:rsidR="00D05E0E" w:rsidRPr="006E062D" w:rsidRDefault="00D05E0E" w:rsidP="00D05E0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052C474E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0EB828E5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4A059D73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547630D3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553BE5A5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18D72" wp14:editId="52BC40C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AFD8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75E5C05B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0A1165F6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D0D00" wp14:editId="5EB8672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86C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58814E6E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3AAB769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774B3519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1B40E6F6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23E92DFB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395BC04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625ACA61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5012DEC7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7EF95593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E54EE13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5B3E2A8A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7AF2CF97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 xml:space="preserve">слова, наиболее часто встречающиеся в данной области, </w:t>
      </w:r>
      <w:r w:rsidRPr="006E062D">
        <w:rPr>
          <w:color w:val="000000"/>
          <w:spacing w:val="-2"/>
          <w:sz w:val="28"/>
          <w:szCs w:val="28"/>
        </w:rPr>
        <w:lastRenderedPageBreak/>
        <w:t>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012BD6E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79F9FC40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064F148C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22D3E48D" w14:textId="77777777" w:rsidR="00D05E0E" w:rsidRPr="006E062D" w:rsidRDefault="00D05E0E" w:rsidP="00D05E0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35F3B6B6" w14:textId="77777777" w:rsidR="00D05E0E" w:rsidRDefault="00D05E0E" w:rsidP="00D05E0E">
      <w:pPr>
        <w:ind w:firstLine="709"/>
        <w:jc w:val="both"/>
        <w:rPr>
          <w:sz w:val="28"/>
        </w:rPr>
      </w:pPr>
    </w:p>
    <w:p w14:paraId="61B53483" w14:textId="77777777" w:rsidR="00D05E0E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7FAC81F8" w14:textId="77777777" w:rsidR="00D05E0E" w:rsidRPr="00460AEA" w:rsidRDefault="00D05E0E" w:rsidP="00D05E0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802F504" w14:textId="77777777" w:rsidR="00D05E0E" w:rsidRPr="00C35B2E" w:rsidRDefault="00D05E0E" w:rsidP="00D05E0E">
      <w:pPr>
        <w:ind w:firstLine="709"/>
        <w:jc w:val="both"/>
        <w:rPr>
          <w:sz w:val="8"/>
          <w:szCs w:val="28"/>
        </w:rPr>
      </w:pPr>
    </w:p>
    <w:p w14:paraId="447E5FE9" w14:textId="77777777" w:rsidR="00D05E0E" w:rsidRPr="00821EB4" w:rsidRDefault="00D05E0E" w:rsidP="00D05E0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3F325618" w14:textId="77777777" w:rsidR="00D05E0E" w:rsidRDefault="00D05E0E" w:rsidP="00D05E0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091DB881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543BE1E9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18569890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4D279BE3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03942990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660B2179" w14:textId="77777777" w:rsidR="00D05E0E" w:rsidRDefault="00D05E0E" w:rsidP="00D05E0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4100695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5D963FD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7FDD9CED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73DA1CE4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11934D25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14:paraId="5B0330B9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24711076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20913DE2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7EFFD7B9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3803BF21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2C836A0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55E43F3D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305AD9F6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286871D5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49E3CC73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432729F9" w14:textId="77777777" w:rsidR="00D05E0E" w:rsidRPr="00981A6C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0821943" w14:textId="77777777" w:rsidR="00D05E0E" w:rsidRPr="009F413C" w:rsidRDefault="00D05E0E" w:rsidP="00D05E0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2A0FF715" w14:textId="77777777" w:rsidR="00D05E0E" w:rsidRPr="009F413C" w:rsidRDefault="00D05E0E" w:rsidP="00D05E0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4186AF01" w14:textId="77777777" w:rsidR="00D05E0E" w:rsidRPr="009F413C" w:rsidRDefault="00D05E0E" w:rsidP="00D05E0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66F4930D" w14:textId="77777777" w:rsidR="00D05E0E" w:rsidRPr="009F413C" w:rsidRDefault="00D05E0E" w:rsidP="00D05E0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4FBA43D2" w14:textId="77777777" w:rsidR="00D05E0E" w:rsidRPr="009F413C" w:rsidRDefault="00D05E0E" w:rsidP="00D05E0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37C8B0EC" w14:textId="77777777" w:rsidR="00D05E0E" w:rsidRPr="009F413C" w:rsidRDefault="00D05E0E" w:rsidP="00D05E0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29381B36" w14:textId="77777777" w:rsidR="00D05E0E" w:rsidRPr="009F413C" w:rsidRDefault="00D05E0E" w:rsidP="00D05E0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878B969" w14:textId="77777777" w:rsidR="00D05E0E" w:rsidRPr="009F413C" w:rsidRDefault="00D05E0E" w:rsidP="00D05E0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7A6DE654" w14:textId="77777777" w:rsidR="00D05E0E" w:rsidRDefault="00D05E0E" w:rsidP="00D05E0E">
      <w:pPr>
        <w:ind w:firstLine="709"/>
        <w:jc w:val="both"/>
        <w:rPr>
          <w:sz w:val="28"/>
        </w:rPr>
      </w:pPr>
    </w:p>
    <w:p w14:paraId="652A2803" w14:textId="77777777" w:rsidR="00D05E0E" w:rsidRPr="00755609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14:paraId="1D4DF2E7" w14:textId="77777777" w:rsidR="00D05E0E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14:paraId="526C4C67" w14:textId="77777777" w:rsidR="00D05E0E" w:rsidRPr="00755609" w:rsidRDefault="00D05E0E" w:rsidP="00D05E0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14:paraId="1FBBE602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14:paraId="0673A55C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14:paraId="1D9B6A9A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6E5567EA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14:paraId="5D807145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2386483F" w14:textId="77777777" w:rsidR="00D05E0E" w:rsidRDefault="00D05E0E" w:rsidP="00D05E0E">
      <w:pPr>
        <w:ind w:firstLine="709"/>
        <w:jc w:val="both"/>
        <w:rPr>
          <w:sz w:val="28"/>
        </w:rPr>
      </w:pPr>
    </w:p>
    <w:p w14:paraId="718E6D1A" w14:textId="77777777" w:rsidR="00D05E0E" w:rsidRPr="00755609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7FFC84F0" w14:textId="77777777"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1584ED31" w14:textId="77777777" w:rsidR="00D05E0E" w:rsidRPr="00755609" w:rsidRDefault="00D05E0E" w:rsidP="00D05E0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78C29F9" w14:textId="77777777"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4732FFA3" w14:textId="77777777"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0A85E350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4D6E3866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18766DB6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125B8BA1" w14:textId="77777777"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5D084EEB" w14:textId="77777777" w:rsidR="00D05E0E" w:rsidRPr="00755609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22C86663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7D0CB5B5" w14:textId="77777777" w:rsidR="00D05E0E" w:rsidRPr="00755609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6BA3E779" w14:textId="77777777" w:rsidR="00D05E0E" w:rsidRDefault="00D05E0E" w:rsidP="00D05E0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09F3FD94" w14:textId="77777777" w:rsidR="00D05E0E" w:rsidRDefault="00D05E0E" w:rsidP="00D05E0E">
      <w:pPr>
        <w:ind w:firstLine="709"/>
        <w:jc w:val="both"/>
        <w:rPr>
          <w:sz w:val="28"/>
        </w:rPr>
      </w:pPr>
    </w:p>
    <w:p w14:paraId="7053CA8A" w14:textId="77777777" w:rsidR="00D05E0E" w:rsidRPr="00742208" w:rsidRDefault="00D05E0E" w:rsidP="00D05E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598DFDAD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3749C544" w14:textId="77777777" w:rsidR="00D05E0E" w:rsidRPr="00985E1D" w:rsidRDefault="00D05E0E" w:rsidP="00D05E0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4219F5E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38EB8E93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3FC9646F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2C1ED7A8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36441FFF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6E8C5CEA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19D570B3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2C5147E3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453FA688" w14:textId="77777777" w:rsidR="00D05E0E" w:rsidRPr="00985E1D" w:rsidRDefault="00D05E0E" w:rsidP="00D05E0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35E48BCB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1BD3C32A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25F2E2A0" w14:textId="77777777" w:rsidR="00D05E0E" w:rsidRPr="00742208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1ECC8B9" w14:textId="77777777" w:rsidR="00D05E0E" w:rsidRDefault="00D05E0E" w:rsidP="00D05E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23DD4EAE" w14:textId="77777777" w:rsidR="00D05E0E" w:rsidRPr="00742208" w:rsidRDefault="00D05E0E" w:rsidP="00D05E0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7C202B38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79270484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8E541D9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3E1C1273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55FC9FD7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578CE1AE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52BAC39A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61EEBA4B" w14:textId="77777777" w:rsidR="00D05E0E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E6DB6CD" w14:textId="77777777" w:rsidR="00D05E0E" w:rsidRPr="00742208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720A8AFF" w14:textId="77777777" w:rsidR="00D05E0E" w:rsidRDefault="00D05E0E" w:rsidP="00D05E0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19833F24" w14:textId="77777777" w:rsidR="00D05E0E" w:rsidRPr="00BD5AFD" w:rsidRDefault="00D05E0E" w:rsidP="00D05E0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5B1A0E22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119D2830" w14:textId="77777777" w:rsidR="00D05E0E" w:rsidRPr="00BD5AFD" w:rsidRDefault="00D05E0E" w:rsidP="00D05E0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551B7A40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1A2DC7AA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69517323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74BAF043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42A01F6B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13E22710" w14:textId="77777777" w:rsidR="00D05E0E" w:rsidRPr="00BD5AFD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66014676" w14:textId="77777777" w:rsidR="00D05E0E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59F8F8CE" w14:textId="77777777" w:rsidR="00D05E0E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3F6DCBCE" w14:textId="77777777" w:rsidR="00D05E0E" w:rsidRPr="00BD5AFD" w:rsidRDefault="00D05E0E" w:rsidP="00D05E0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723076EC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484F3AD0" w14:textId="77777777" w:rsidR="00D05E0E" w:rsidRDefault="00D05E0E" w:rsidP="00D05E0E">
      <w:pPr>
        <w:ind w:firstLine="709"/>
        <w:jc w:val="both"/>
        <w:rPr>
          <w:sz w:val="28"/>
        </w:rPr>
      </w:pPr>
    </w:p>
    <w:p w14:paraId="229019CD" w14:textId="77777777" w:rsidR="00D05E0E" w:rsidRPr="00BD5AFD" w:rsidRDefault="00D05E0E" w:rsidP="00D05E0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0D3A97F4" w14:textId="77777777" w:rsidR="00D05E0E" w:rsidRPr="00BD5AFD" w:rsidRDefault="00D05E0E" w:rsidP="00D05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BE43440" w14:textId="77777777" w:rsidR="00D05E0E" w:rsidRPr="00BD5AFD" w:rsidRDefault="00D05E0E" w:rsidP="00D05E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CB52F1A" w14:textId="77777777"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6DDCC698" w14:textId="77777777"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49BBA05E" w14:textId="77777777" w:rsidR="00D05E0E" w:rsidRPr="00BD5AFD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3E040666" w14:textId="77777777" w:rsidR="00D05E0E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3B763F23" w14:textId="77777777" w:rsidR="00D05E0E" w:rsidRPr="00C35B2E" w:rsidRDefault="00D05E0E" w:rsidP="00D05E0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4260F183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1C1E1997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49C87804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2AB11A34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6747142E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2CDE1A01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5F98646A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74511E5B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67067FD1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7F627161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7EA48B1F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097A3241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2FE6A32F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3E0F0510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6141F91F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3AFF10F3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663A0953" w14:textId="77777777" w:rsidR="00D05E0E" w:rsidRPr="00BD5AFD" w:rsidRDefault="00D05E0E" w:rsidP="00D05E0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5B84A731" w14:textId="77777777"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B0EEE2D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56D3F2FD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C1DA80F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38C4FA40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77C148EE" w14:textId="77777777"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4D17D0F0" w14:textId="77777777"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25B77868" w14:textId="77777777" w:rsidR="00D05E0E" w:rsidRPr="00BD5AFD" w:rsidRDefault="00D05E0E" w:rsidP="00D05E0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0A92F2DE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427BF442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8565800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137AD18B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9C5774B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577E621E" w14:textId="77777777" w:rsidR="00D05E0E" w:rsidRPr="00BD5AFD" w:rsidRDefault="00D05E0E" w:rsidP="00D05E0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26870BFD" w14:textId="77777777" w:rsidR="00BF1CD1" w:rsidRDefault="00BF1CD1" w:rsidP="00593334">
      <w:pPr>
        <w:ind w:firstLine="709"/>
        <w:jc w:val="both"/>
        <w:rPr>
          <w:sz w:val="28"/>
        </w:rPr>
      </w:pPr>
    </w:p>
    <w:p w14:paraId="25E3C2C0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2DB3116C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49B035A0" w14:textId="77777777" w:rsidR="00F44E53" w:rsidRDefault="00F44E53" w:rsidP="00593334">
      <w:pPr>
        <w:ind w:firstLine="709"/>
        <w:jc w:val="both"/>
        <w:rPr>
          <w:sz w:val="28"/>
        </w:rPr>
      </w:pPr>
    </w:p>
    <w:p w14:paraId="0806095B" w14:textId="77777777"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C2B7" w14:textId="77777777" w:rsidR="003F28E5" w:rsidRDefault="003F28E5" w:rsidP="00FD5B6B">
      <w:r>
        <w:separator/>
      </w:r>
    </w:p>
  </w:endnote>
  <w:endnote w:type="continuationSeparator" w:id="0">
    <w:p w14:paraId="7D825DEE" w14:textId="77777777" w:rsidR="003F28E5" w:rsidRDefault="003F28E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067E" w14:textId="77777777" w:rsidR="003366B4" w:rsidRDefault="003366B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D4A16">
      <w:rPr>
        <w:noProof/>
      </w:rPr>
      <w:t>2</w:t>
    </w:r>
    <w:r>
      <w:fldChar w:fldCharType="end"/>
    </w:r>
  </w:p>
  <w:p w14:paraId="0471E772" w14:textId="77777777" w:rsidR="003366B4" w:rsidRDefault="003366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5570" w14:textId="77777777" w:rsidR="003F28E5" w:rsidRDefault="003F28E5" w:rsidP="00FD5B6B">
      <w:r>
        <w:separator/>
      </w:r>
    </w:p>
  </w:footnote>
  <w:footnote w:type="continuationSeparator" w:id="0">
    <w:p w14:paraId="3705B85A" w14:textId="77777777" w:rsidR="003F28E5" w:rsidRDefault="003F28E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19D2"/>
    <w:multiLevelType w:val="hybridMultilevel"/>
    <w:tmpl w:val="133427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65AEA"/>
    <w:rsid w:val="001A701A"/>
    <w:rsid w:val="001F5EE1"/>
    <w:rsid w:val="0026698D"/>
    <w:rsid w:val="002C65B8"/>
    <w:rsid w:val="002D2784"/>
    <w:rsid w:val="002F3164"/>
    <w:rsid w:val="00314700"/>
    <w:rsid w:val="0032199F"/>
    <w:rsid w:val="003366B4"/>
    <w:rsid w:val="003B5F75"/>
    <w:rsid w:val="003C37BE"/>
    <w:rsid w:val="003F28E5"/>
    <w:rsid w:val="00464ACD"/>
    <w:rsid w:val="00476000"/>
    <w:rsid w:val="00490FF8"/>
    <w:rsid w:val="004B2C94"/>
    <w:rsid w:val="004C1386"/>
    <w:rsid w:val="004D1091"/>
    <w:rsid w:val="004D4A16"/>
    <w:rsid w:val="00541CF7"/>
    <w:rsid w:val="00561D75"/>
    <w:rsid w:val="005677BE"/>
    <w:rsid w:val="00582BA5"/>
    <w:rsid w:val="00593334"/>
    <w:rsid w:val="005E3DBE"/>
    <w:rsid w:val="006847B8"/>
    <w:rsid w:val="00693E11"/>
    <w:rsid w:val="006A3925"/>
    <w:rsid w:val="006F14A4"/>
    <w:rsid w:val="006F7AD8"/>
    <w:rsid w:val="0070621B"/>
    <w:rsid w:val="00742208"/>
    <w:rsid w:val="007505B0"/>
    <w:rsid w:val="00755609"/>
    <w:rsid w:val="00787520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C7112"/>
    <w:rsid w:val="009F49C5"/>
    <w:rsid w:val="00AD02AB"/>
    <w:rsid w:val="00AD3EBB"/>
    <w:rsid w:val="00AD73C5"/>
    <w:rsid w:val="00AF327C"/>
    <w:rsid w:val="00B350F3"/>
    <w:rsid w:val="00BF1CD1"/>
    <w:rsid w:val="00C35B2E"/>
    <w:rsid w:val="00C83AB7"/>
    <w:rsid w:val="00CC18B4"/>
    <w:rsid w:val="00CD647F"/>
    <w:rsid w:val="00D05E0E"/>
    <w:rsid w:val="00D06B87"/>
    <w:rsid w:val="00D33524"/>
    <w:rsid w:val="00D35869"/>
    <w:rsid w:val="00D471E6"/>
    <w:rsid w:val="00D75EDC"/>
    <w:rsid w:val="00E00D61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9CD2D"/>
  <w15:docId w15:val="{CD08AF76-2AB5-47DA-8872-32542D9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Анатолий Бондаренко</cp:lastModifiedBy>
  <cp:revision>2</cp:revision>
  <dcterms:created xsi:type="dcterms:W3CDTF">2022-12-18T23:35:00Z</dcterms:created>
  <dcterms:modified xsi:type="dcterms:W3CDTF">2022-12-18T23:35:00Z</dcterms:modified>
</cp:coreProperties>
</file>