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55" w:rsidRPr="00D85C55" w:rsidRDefault="00D85C55" w:rsidP="00D85C55">
      <w:pPr>
        <w:tabs>
          <w:tab w:val="left" w:pos="142"/>
        </w:tabs>
        <w:spacing w:line="360" w:lineRule="auto"/>
        <w:jc w:val="center"/>
        <w:rPr>
          <w:rFonts w:ascii="Times New Roman" w:hAnsi="Times New Roman" w:cs="Times New Roman"/>
          <w:b/>
          <w:sz w:val="32"/>
          <w:szCs w:val="28"/>
        </w:rPr>
      </w:pPr>
      <w:r w:rsidRPr="00D85C55">
        <w:rPr>
          <w:rFonts w:ascii="Times New Roman" w:hAnsi="Times New Roman" w:cs="Times New Roman"/>
          <w:b/>
          <w:sz w:val="32"/>
          <w:szCs w:val="28"/>
        </w:rPr>
        <w:t xml:space="preserve">МЕТОДИЧЕСКАЯ РАЗРАБОТКА ДЛЯ ПОДГОТОВКИ К ЗАНЯТИЯМ СТУДЕНТОВ </w:t>
      </w:r>
      <w:r>
        <w:rPr>
          <w:rFonts w:ascii="Times New Roman" w:hAnsi="Times New Roman" w:cs="Times New Roman"/>
          <w:b/>
          <w:sz w:val="32"/>
          <w:szCs w:val="28"/>
        </w:rPr>
        <w:t>5</w:t>
      </w:r>
      <w:r w:rsidRPr="00D85C55">
        <w:rPr>
          <w:rFonts w:ascii="Times New Roman" w:hAnsi="Times New Roman" w:cs="Times New Roman"/>
          <w:b/>
          <w:sz w:val="32"/>
          <w:szCs w:val="28"/>
        </w:rPr>
        <w:t xml:space="preserve"> КУРСА ИНОСТРАННОГО ФАКУЛЬТЕТА </w:t>
      </w:r>
    </w:p>
    <w:p w:rsidR="00D85C55" w:rsidRPr="00D85C55" w:rsidRDefault="00D85C55" w:rsidP="00D85C55">
      <w:pPr>
        <w:tabs>
          <w:tab w:val="left" w:pos="142"/>
        </w:tabs>
        <w:spacing w:line="360" w:lineRule="auto"/>
        <w:jc w:val="center"/>
        <w:rPr>
          <w:rFonts w:ascii="Times New Roman" w:hAnsi="Times New Roman" w:cs="Times New Roman"/>
          <w:b/>
          <w:sz w:val="32"/>
          <w:szCs w:val="28"/>
        </w:rPr>
      </w:pPr>
      <w:r>
        <w:rPr>
          <w:rFonts w:ascii="Times New Roman" w:hAnsi="Times New Roman" w:cs="Times New Roman"/>
          <w:b/>
          <w:sz w:val="32"/>
          <w:szCs w:val="28"/>
        </w:rPr>
        <w:t>ДИСЦИПЛИНА «ТЕРАПИЯ»</w:t>
      </w:r>
    </w:p>
    <w:p w:rsidR="00D85C55" w:rsidRPr="00D85C55" w:rsidRDefault="00D85C55" w:rsidP="00D85C55">
      <w:pPr>
        <w:tabs>
          <w:tab w:val="left" w:pos="142"/>
        </w:tabs>
        <w:spacing w:line="360" w:lineRule="auto"/>
        <w:jc w:val="center"/>
        <w:rPr>
          <w:rFonts w:ascii="Times New Roman" w:hAnsi="Times New Roman" w:cs="Times New Roman"/>
          <w:b/>
          <w:sz w:val="32"/>
          <w:szCs w:val="28"/>
        </w:rPr>
      </w:pPr>
      <w:r w:rsidRPr="00D85C55">
        <w:rPr>
          <w:rFonts w:ascii="Times New Roman" w:hAnsi="Times New Roman" w:cs="Times New Roman"/>
          <w:b/>
          <w:sz w:val="32"/>
          <w:szCs w:val="28"/>
        </w:rPr>
        <w:t>МОДУЛЬ «</w:t>
      </w:r>
      <w:r>
        <w:rPr>
          <w:rFonts w:ascii="Times New Roman" w:hAnsi="Times New Roman" w:cs="Times New Roman"/>
          <w:b/>
          <w:sz w:val="32"/>
          <w:szCs w:val="28"/>
        </w:rPr>
        <w:t>РЕВМАТОЛОГИЯ»</w:t>
      </w:r>
    </w:p>
    <w:p w:rsidR="00D85C55" w:rsidRPr="00D85C55" w:rsidRDefault="00D85C55" w:rsidP="00D85C55">
      <w:pPr>
        <w:tabs>
          <w:tab w:val="left" w:pos="142"/>
        </w:tabs>
        <w:spacing w:line="360" w:lineRule="auto"/>
        <w:jc w:val="center"/>
        <w:rPr>
          <w:rFonts w:ascii="Times New Roman" w:hAnsi="Times New Roman" w:cs="Times New Roman"/>
          <w:b/>
          <w:sz w:val="32"/>
          <w:szCs w:val="28"/>
        </w:rPr>
      </w:pPr>
      <w:r w:rsidRPr="00D85C55">
        <w:rPr>
          <w:rFonts w:ascii="Times New Roman" w:hAnsi="Times New Roman" w:cs="Times New Roman"/>
          <w:b/>
          <w:sz w:val="32"/>
          <w:szCs w:val="28"/>
        </w:rPr>
        <w:t>ТЕМА «СЕРОНЕГАТИВНЫЕ СПОНДИЛОАРТРИТЫ. АНКИЛОЗИРУЮЩИЙ СПОНДИЛИТ»</w:t>
      </w:r>
    </w:p>
    <w:p w:rsidR="00D85C55" w:rsidRDefault="00D85C55" w:rsidP="00D85C55">
      <w:pPr>
        <w:tabs>
          <w:tab w:val="left" w:pos="142"/>
        </w:tabs>
        <w:spacing w:line="360" w:lineRule="auto"/>
        <w:jc w:val="center"/>
        <w:rPr>
          <w:rFonts w:ascii="Times New Roman" w:hAnsi="Times New Roman" w:cs="Times New Roman"/>
          <w:b/>
          <w:sz w:val="32"/>
          <w:szCs w:val="28"/>
          <w:u w:val="single"/>
        </w:rPr>
      </w:pPr>
    </w:p>
    <w:p w:rsidR="00D85C55" w:rsidRDefault="00D85C55" w:rsidP="00D85C55">
      <w:pPr>
        <w:tabs>
          <w:tab w:val="left" w:pos="142"/>
        </w:tabs>
        <w:spacing w:line="360" w:lineRule="auto"/>
        <w:jc w:val="center"/>
        <w:rPr>
          <w:rFonts w:ascii="Times New Roman" w:hAnsi="Times New Roman" w:cs="Times New Roman"/>
          <w:b/>
          <w:sz w:val="32"/>
          <w:szCs w:val="28"/>
          <w:u w:val="single"/>
        </w:rPr>
      </w:pPr>
    </w:p>
    <w:p w:rsidR="00D85C55" w:rsidRPr="00D85C55" w:rsidRDefault="00D85C55" w:rsidP="00D85C55">
      <w:pPr>
        <w:tabs>
          <w:tab w:val="left" w:pos="142"/>
        </w:tabs>
        <w:spacing w:line="360" w:lineRule="auto"/>
        <w:jc w:val="center"/>
        <w:rPr>
          <w:rFonts w:ascii="Times New Roman" w:hAnsi="Times New Roman" w:cs="Times New Roman"/>
          <w:b/>
          <w:sz w:val="32"/>
          <w:szCs w:val="28"/>
          <w:u w:val="single"/>
        </w:rPr>
      </w:pP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r w:rsidRPr="00D85C55">
        <w:rPr>
          <w:rFonts w:ascii="Times New Roman" w:hAnsi="Times New Roman" w:cs="Times New Roman"/>
          <w:b/>
          <w:sz w:val="32"/>
          <w:szCs w:val="28"/>
          <w:lang w:val="en-US"/>
        </w:rPr>
        <w:t>------------------------------------------------------------------------------------------</w:t>
      </w: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r w:rsidRPr="00D85C55">
        <w:rPr>
          <w:rFonts w:ascii="Times New Roman" w:hAnsi="Times New Roman" w:cs="Times New Roman"/>
          <w:b/>
          <w:sz w:val="32"/>
          <w:szCs w:val="28"/>
          <w:lang w:val="en-US"/>
        </w:rPr>
        <w:t xml:space="preserve">METHODICAL RECOMMENDATION FOR FOREIGN STUDENTS </w:t>
      </w: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r>
        <w:rPr>
          <w:rFonts w:ascii="Times New Roman" w:hAnsi="Times New Roman" w:cs="Times New Roman"/>
          <w:b/>
          <w:sz w:val="32"/>
          <w:szCs w:val="28"/>
          <w:lang w:val="en-US"/>
        </w:rPr>
        <w:t>OF 5</w:t>
      </w:r>
      <w:r w:rsidRPr="00D85C55">
        <w:rPr>
          <w:rFonts w:ascii="Times New Roman" w:hAnsi="Times New Roman" w:cs="Times New Roman"/>
          <w:b/>
          <w:sz w:val="32"/>
          <w:szCs w:val="28"/>
          <w:lang w:val="en-US"/>
        </w:rPr>
        <w:t>TH YEAR</w:t>
      </w:r>
    </w:p>
    <w:p w:rsidR="00D85C55" w:rsidRPr="00D85C55" w:rsidRDefault="00D85C55" w:rsidP="00D85C55">
      <w:pPr>
        <w:tabs>
          <w:tab w:val="left" w:pos="142"/>
        </w:tabs>
        <w:spacing w:line="360" w:lineRule="auto"/>
        <w:jc w:val="center"/>
        <w:rPr>
          <w:rFonts w:ascii="Times New Roman" w:hAnsi="Times New Roman" w:cs="Times New Roman"/>
          <w:b/>
          <w:sz w:val="32"/>
          <w:szCs w:val="28"/>
        </w:rPr>
      </w:pPr>
      <w:r w:rsidRPr="00D85C55">
        <w:rPr>
          <w:rFonts w:ascii="Times New Roman" w:hAnsi="Times New Roman" w:cs="Times New Roman"/>
          <w:b/>
          <w:sz w:val="32"/>
          <w:szCs w:val="28"/>
          <w:lang w:val="en-US"/>
        </w:rPr>
        <w:t>DISCIPLINE</w:t>
      </w:r>
      <w:r>
        <w:rPr>
          <w:rFonts w:ascii="Times New Roman" w:hAnsi="Times New Roman" w:cs="Times New Roman"/>
          <w:b/>
          <w:sz w:val="32"/>
          <w:szCs w:val="28"/>
          <w:lang w:val="en-US"/>
        </w:rPr>
        <w:t xml:space="preserve"> </w:t>
      </w:r>
      <w:r>
        <w:rPr>
          <w:rFonts w:ascii="Times New Roman" w:hAnsi="Times New Roman" w:cs="Times New Roman"/>
          <w:b/>
          <w:sz w:val="32"/>
          <w:szCs w:val="28"/>
        </w:rPr>
        <w:t>«</w:t>
      </w:r>
      <w:r>
        <w:rPr>
          <w:rFonts w:ascii="Times New Roman" w:hAnsi="Times New Roman" w:cs="Times New Roman"/>
          <w:b/>
          <w:sz w:val="32"/>
          <w:szCs w:val="28"/>
          <w:lang w:val="en-US"/>
        </w:rPr>
        <w:t>THERAPY</w:t>
      </w:r>
      <w:r>
        <w:rPr>
          <w:rFonts w:ascii="Times New Roman" w:hAnsi="Times New Roman" w:cs="Times New Roman"/>
          <w:b/>
          <w:sz w:val="32"/>
          <w:szCs w:val="28"/>
        </w:rPr>
        <w:t>»</w:t>
      </w: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r w:rsidRPr="00D85C55">
        <w:rPr>
          <w:rFonts w:ascii="Times New Roman" w:hAnsi="Times New Roman" w:cs="Times New Roman"/>
          <w:b/>
          <w:sz w:val="32"/>
          <w:szCs w:val="28"/>
          <w:lang w:val="en-US"/>
        </w:rPr>
        <w:t>MODULE "</w:t>
      </w:r>
      <w:r>
        <w:rPr>
          <w:rFonts w:ascii="Times New Roman" w:hAnsi="Times New Roman" w:cs="Times New Roman"/>
          <w:b/>
          <w:sz w:val="32"/>
          <w:szCs w:val="28"/>
          <w:lang w:val="en-US"/>
        </w:rPr>
        <w:t>RHEUMATOLOGY</w:t>
      </w:r>
      <w:r w:rsidRPr="00D85C55">
        <w:rPr>
          <w:rFonts w:ascii="Times New Roman" w:hAnsi="Times New Roman" w:cs="Times New Roman"/>
          <w:b/>
          <w:sz w:val="32"/>
          <w:szCs w:val="28"/>
          <w:lang w:val="en-US"/>
        </w:rPr>
        <w:t xml:space="preserve">" </w:t>
      </w:r>
    </w:p>
    <w:p w:rsidR="00D85C55" w:rsidRPr="00D85C55" w:rsidRDefault="00D85C55" w:rsidP="00D85C55">
      <w:pPr>
        <w:tabs>
          <w:tab w:val="left" w:pos="142"/>
        </w:tabs>
        <w:spacing w:line="360" w:lineRule="auto"/>
        <w:jc w:val="center"/>
        <w:rPr>
          <w:rFonts w:ascii="Times New Roman" w:hAnsi="Times New Roman" w:cs="Times New Roman"/>
          <w:b/>
          <w:sz w:val="32"/>
          <w:szCs w:val="28"/>
          <w:lang w:val="en-US"/>
        </w:rPr>
      </w:pPr>
      <w:r w:rsidRPr="00D85C55">
        <w:rPr>
          <w:rFonts w:ascii="Times New Roman" w:hAnsi="Times New Roman" w:cs="Times New Roman"/>
          <w:b/>
          <w:sz w:val="32"/>
          <w:szCs w:val="28"/>
          <w:lang w:val="en-US"/>
        </w:rPr>
        <w:t>TOPIC “SERONEGATIVE SPONDYLOARTHRITIDES. ANKYLOSING SPONDYLITIS”</w:t>
      </w:r>
    </w:p>
    <w:p w:rsidR="00D85C55" w:rsidRDefault="00D85C55" w:rsidP="00D85C55">
      <w:pPr>
        <w:spacing w:after="0" w:line="360" w:lineRule="auto"/>
        <w:ind w:firstLine="709"/>
        <w:jc w:val="center"/>
        <w:rPr>
          <w:rFonts w:ascii="Times New Roman" w:eastAsia="Times New Roman" w:hAnsi="Times New Roman" w:cs="Times New Roman"/>
          <w:b/>
          <w:bCs/>
          <w:sz w:val="28"/>
          <w:szCs w:val="28"/>
          <w:lang w:val="en-US" w:eastAsia="ru-RU"/>
        </w:rPr>
      </w:pPr>
    </w:p>
    <w:p w:rsidR="00D85C55" w:rsidRDefault="00D85C55" w:rsidP="00D85C55">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85C55" w:rsidRDefault="00D85C55" w:rsidP="00D85C55">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СЕРОНЕГАТИВНЫЕ СПОНДИЛОАРТРИТЫ. АНКИЛОЗИРУЮЩИЙ СПОНДИЛИТ</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proofErr w:type="spellStart"/>
      <w:r w:rsidRPr="00D85C55">
        <w:rPr>
          <w:rFonts w:ascii="Times New Roman" w:eastAsia="Times New Roman" w:hAnsi="Times New Roman" w:cs="Times New Roman"/>
          <w:b/>
          <w:bCs/>
          <w:sz w:val="28"/>
          <w:szCs w:val="28"/>
          <w:lang w:eastAsia="ru-RU"/>
        </w:rPr>
        <w:t>Анкилозирующий</w:t>
      </w:r>
      <w:proofErr w:type="spellEnd"/>
      <w:r w:rsidRPr="00D85C55">
        <w:rPr>
          <w:rFonts w:ascii="Times New Roman" w:eastAsia="Times New Roman" w:hAnsi="Times New Roman" w:cs="Times New Roman"/>
          <w:b/>
          <w:bCs/>
          <w:sz w:val="28"/>
          <w:szCs w:val="28"/>
          <w:lang w:eastAsia="ru-RU"/>
        </w:rPr>
        <w:t xml:space="preserve"> спондилит (АС)</w:t>
      </w:r>
      <w:r w:rsidRPr="00D85C55">
        <w:rPr>
          <w:rFonts w:ascii="Times New Roman" w:eastAsia="Times New Roman" w:hAnsi="Times New Roman" w:cs="Times New Roman"/>
          <w:sz w:val="28"/>
          <w:szCs w:val="28"/>
          <w:lang w:eastAsia="ru-RU"/>
        </w:rPr>
        <w:t xml:space="preserve"> – хроническое системное воспалительное заболевание, характеризующееся преимущественным поражением крестцово-подвздошных сочленений и позвоночника, нередко также периферических суставов и </w:t>
      </w:r>
      <w:proofErr w:type="spellStart"/>
      <w:r w:rsidRPr="00D85C55">
        <w:rPr>
          <w:rFonts w:ascii="Times New Roman" w:eastAsia="Times New Roman" w:hAnsi="Times New Roman" w:cs="Times New Roman"/>
          <w:sz w:val="28"/>
          <w:szCs w:val="28"/>
          <w:lang w:eastAsia="ru-RU"/>
        </w:rPr>
        <w:t>энтезисов</w:t>
      </w:r>
      <w:proofErr w:type="spellEnd"/>
      <w:r w:rsidRPr="00D85C55">
        <w:rPr>
          <w:rFonts w:ascii="Times New Roman" w:eastAsia="Times New Roman" w:hAnsi="Times New Roman" w:cs="Times New Roman"/>
          <w:sz w:val="28"/>
          <w:szCs w:val="28"/>
          <w:lang w:eastAsia="ru-RU"/>
        </w:rPr>
        <w:t>, а в ряде случаев глаз и корня аорты.</w:t>
      </w:r>
      <w:r w:rsidRPr="00B97A7C">
        <w:rPr>
          <w:rFonts w:ascii="Times New Roman" w:eastAsia="Times New Roman" w:hAnsi="Times New Roman" w:cs="Times New Roman"/>
          <w:sz w:val="28"/>
          <w:szCs w:val="28"/>
          <w:lang w:eastAsia="ru-RU"/>
        </w:rPr>
        <w:br/>
      </w:r>
    </w:p>
    <w:p w:rsidR="00B97A7C" w:rsidRPr="00B97A7C" w:rsidRDefault="00B97A7C" w:rsidP="00D85C55">
      <w:pPr>
        <w:shd w:val="clear" w:color="auto" w:fill="6A9FBE"/>
        <w:spacing w:after="0" w:line="360" w:lineRule="auto"/>
        <w:ind w:firstLine="709"/>
        <w:outlineLvl w:val="1"/>
        <w:rPr>
          <w:rFonts w:ascii="Times New Roman" w:eastAsia="Times New Roman" w:hAnsi="Times New Roman" w:cs="Times New Roman"/>
          <w:b/>
          <w:bCs/>
          <w:color w:val="FFFFFF"/>
          <w:sz w:val="28"/>
          <w:szCs w:val="28"/>
          <w:lang w:eastAsia="ru-RU"/>
        </w:rPr>
      </w:pPr>
      <w:r w:rsidRPr="00B97A7C">
        <w:rPr>
          <w:rFonts w:ascii="Times New Roman" w:eastAsia="Times New Roman" w:hAnsi="Times New Roman" w:cs="Times New Roman"/>
          <w:b/>
          <w:bCs/>
          <w:color w:val="FFFFFF"/>
          <w:sz w:val="28"/>
          <w:szCs w:val="28"/>
          <w:lang w:eastAsia="ru-RU"/>
        </w:rPr>
        <w:t>Классификация</w:t>
      </w:r>
    </w:p>
    <w:p w:rsidR="00D85C55" w:rsidRDefault="00B97A7C" w:rsidP="00D85C55">
      <w:pPr>
        <w:spacing w:after="0" w:line="360" w:lineRule="auto"/>
        <w:ind w:firstLine="709"/>
        <w:rPr>
          <w:rFonts w:ascii="Times New Roman" w:eastAsia="Times New Roman" w:hAnsi="Times New Roman" w:cs="Times New Roman"/>
          <w:b/>
          <w:bCs/>
          <w:sz w:val="28"/>
          <w:szCs w:val="28"/>
          <w:lang w:eastAsia="ru-RU"/>
        </w:rPr>
      </w:pPr>
      <w:r w:rsidRPr="00D85C55">
        <w:rPr>
          <w:rFonts w:ascii="Times New Roman" w:eastAsia="Times New Roman" w:hAnsi="Times New Roman" w:cs="Times New Roman"/>
          <w:b/>
          <w:bCs/>
          <w:sz w:val="28"/>
          <w:szCs w:val="28"/>
          <w:lang w:eastAsia="ru-RU"/>
        </w:rPr>
        <w:t>Клиническая классификация</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D85C55">
        <w:rPr>
          <w:rFonts w:ascii="Times New Roman" w:eastAsia="Times New Roman" w:hAnsi="Times New Roman" w:cs="Times New Roman"/>
          <w:b/>
          <w:bCs/>
          <w:sz w:val="28"/>
          <w:szCs w:val="28"/>
          <w:lang w:eastAsia="ru-RU"/>
        </w:rPr>
        <w:t>По течению заболевания:</w:t>
      </w:r>
      <w:r w:rsidRPr="00B97A7C">
        <w:rPr>
          <w:rFonts w:ascii="Times New Roman" w:eastAsia="Times New Roman" w:hAnsi="Times New Roman" w:cs="Times New Roman"/>
          <w:sz w:val="28"/>
          <w:szCs w:val="28"/>
          <w:lang w:eastAsia="ru-RU"/>
        </w:rPr>
        <w:br/>
        <w:t>1. Медленно прогрессирующее, при котором позвоночник и суставы поражаются медленно, постепенно, в течение многих лет, и медленно прогрессирующее течение с периодами обострения; медленно прогрессирующее с периодами обострения. При этих вариантах течения ББ выраженная функциональная недостаточность суставов и позвоночника обычно наступает через 10-20 лет.</w:t>
      </w:r>
      <w:r w:rsidRPr="00B97A7C">
        <w:rPr>
          <w:rFonts w:ascii="Times New Roman" w:eastAsia="Times New Roman" w:hAnsi="Times New Roman" w:cs="Times New Roman"/>
          <w:sz w:val="28"/>
          <w:szCs w:val="28"/>
          <w:lang w:eastAsia="ru-RU"/>
        </w:rPr>
        <w:br/>
        <w:t>2. Быстро прогрессирующее — за короткий срок приводит к полному анкилозу. Быстро прогрессирующее течение болезни Бехтерева проявляется выраженным болевым синдромом, полиартритом, атрофией мышц, похуданием, высокими лабораторными показателями актив</w:t>
      </w:r>
      <w:r w:rsidRPr="00B97A7C">
        <w:rPr>
          <w:rFonts w:ascii="Times New Roman" w:eastAsia="Times New Roman" w:hAnsi="Times New Roman" w:cs="Times New Roman"/>
          <w:sz w:val="28"/>
          <w:szCs w:val="28"/>
          <w:lang w:eastAsia="ru-RU"/>
        </w:rPr>
        <w:softHyphen/>
        <w:t>ности воспалительного процесса, быстрым развитием кифоза и анкилозов.</w:t>
      </w:r>
      <w:r w:rsidRPr="00B97A7C">
        <w:rPr>
          <w:rFonts w:ascii="Times New Roman" w:eastAsia="Times New Roman" w:hAnsi="Times New Roman" w:cs="Times New Roman"/>
          <w:sz w:val="28"/>
          <w:szCs w:val="28"/>
          <w:lang w:eastAsia="ru-RU"/>
        </w:rPr>
        <w:br/>
        <w:t xml:space="preserve">3. Септический вариант характеризуется острым началом с лихорадкой </w:t>
      </w:r>
      <w:proofErr w:type="spellStart"/>
      <w:r w:rsidRPr="00B97A7C">
        <w:rPr>
          <w:rFonts w:ascii="Times New Roman" w:eastAsia="Times New Roman" w:hAnsi="Times New Roman" w:cs="Times New Roman"/>
          <w:sz w:val="28"/>
          <w:szCs w:val="28"/>
          <w:lang w:eastAsia="ru-RU"/>
        </w:rPr>
        <w:t>гектического</w:t>
      </w:r>
      <w:proofErr w:type="spellEnd"/>
      <w:r w:rsidRPr="00B97A7C">
        <w:rPr>
          <w:rFonts w:ascii="Times New Roman" w:eastAsia="Times New Roman" w:hAnsi="Times New Roman" w:cs="Times New Roman"/>
          <w:sz w:val="28"/>
          <w:szCs w:val="28"/>
          <w:lang w:eastAsia="ru-RU"/>
        </w:rPr>
        <w:t xml:space="preserve"> характера, ознобами, проливными потами, ранним появлением висцеральных поражений. Такой вариант представляет особые сложности для диагностики. В данной ситуации необходимо прежде всего исключить инфекционный эндокардит, сепсис, острую ревматическую лихорадку. Однако если после лихорадочного синдрома и интоксикации появляются артриты, скованность в позво</w:t>
      </w:r>
      <w:r w:rsidRPr="00B97A7C">
        <w:rPr>
          <w:rFonts w:ascii="Times New Roman" w:eastAsia="Times New Roman" w:hAnsi="Times New Roman" w:cs="Times New Roman"/>
          <w:sz w:val="28"/>
          <w:szCs w:val="28"/>
          <w:lang w:eastAsia="ru-RU"/>
        </w:rPr>
        <w:softHyphen/>
        <w:t>ночнике, то можно заподозрить болезнь Бехтерева.</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Стадии AC:</w:t>
      </w:r>
      <w:r w:rsidRPr="00B97A7C">
        <w:rPr>
          <w:rFonts w:ascii="Times New Roman" w:eastAsia="Times New Roman" w:hAnsi="Times New Roman" w:cs="Times New Roman"/>
          <w:sz w:val="28"/>
          <w:szCs w:val="28"/>
          <w:lang w:eastAsia="ru-RU"/>
        </w:rPr>
        <w:br/>
        <w:t xml:space="preserve">I - начальная, или ранняя: умеренное ограничение движений в позвоночнике или в пораженных суставах; рентгенологические изменения могут отсутствовать </w:t>
      </w:r>
      <w:r w:rsidRPr="00B97A7C">
        <w:rPr>
          <w:rFonts w:ascii="Times New Roman" w:eastAsia="Times New Roman" w:hAnsi="Times New Roman" w:cs="Times New Roman"/>
          <w:sz w:val="28"/>
          <w:szCs w:val="28"/>
          <w:lang w:eastAsia="ru-RU"/>
        </w:rPr>
        <w:lastRenderedPageBreak/>
        <w:t xml:space="preserve">либо определяются нечеткость или неровность поверхности крестцово-подвздошных сочленений, очаги </w:t>
      </w:r>
      <w:proofErr w:type="spellStart"/>
      <w:r w:rsidRPr="00B97A7C">
        <w:rPr>
          <w:rFonts w:ascii="Times New Roman" w:eastAsia="Times New Roman" w:hAnsi="Times New Roman" w:cs="Times New Roman"/>
          <w:sz w:val="28"/>
          <w:szCs w:val="28"/>
          <w:lang w:eastAsia="ru-RU"/>
        </w:rPr>
        <w:t>субхондрального</w:t>
      </w:r>
      <w:proofErr w:type="spellEnd"/>
      <w:r w:rsidRPr="00B97A7C">
        <w:rPr>
          <w:rFonts w:ascii="Times New Roman" w:eastAsia="Times New Roman" w:hAnsi="Times New Roman" w:cs="Times New Roman"/>
          <w:sz w:val="28"/>
          <w:szCs w:val="28"/>
          <w:lang w:eastAsia="ru-RU"/>
        </w:rPr>
        <w:t xml:space="preserve"> остеосклероза, расширение суставных щелей;</w:t>
      </w:r>
      <w:r w:rsidRPr="00B97A7C">
        <w:rPr>
          <w:rFonts w:ascii="Times New Roman" w:eastAsia="Times New Roman" w:hAnsi="Times New Roman" w:cs="Times New Roman"/>
          <w:sz w:val="28"/>
          <w:szCs w:val="28"/>
          <w:lang w:eastAsia="ru-RU"/>
        </w:rPr>
        <w:br/>
        <w:t xml:space="preserve">II - умеренное ограничение движений в позвоночнике или периферических суставах, сужение щелей крестцово-подвздошных сочленений или их частичное </w:t>
      </w:r>
      <w:proofErr w:type="spellStart"/>
      <w:r w:rsidRPr="00B97A7C">
        <w:rPr>
          <w:rFonts w:ascii="Times New Roman" w:eastAsia="Times New Roman" w:hAnsi="Times New Roman" w:cs="Times New Roman"/>
          <w:sz w:val="28"/>
          <w:szCs w:val="28"/>
          <w:lang w:eastAsia="ru-RU"/>
        </w:rPr>
        <w:t>анкилозирование</w:t>
      </w:r>
      <w:proofErr w:type="spellEnd"/>
      <w:r w:rsidRPr="00B97A7C">
        <w:rPr>
          <w:rFonts w:ascii="Times New Roman" w:eastAsia="Times New Roman" w:hAnsi="Times New Roman" w:cs="Times New Roman"/>
          <w:sz w:val="28"/>
          <w:szCs w:val="28"/>
          <w:lang w:eastAsia="ru-RU"/>
        </w:rPr>
        <w:t>, сужение межпозвоночных суставных щелей или признаки анкилоза суставов позвоночника;</w:t>
      </w:r>
      <w:r w:rsidRPr="00B97A7C">
        <w:rPr>
          <w:rFonts w:ascii="Times New Roman" w:eastAsia="Times New Roman" w:hAnsi="Times New Roman" w:cs="Times New Roman"/>
          <w:sz w:val="28"/>
          <w:szCs w:val="28"/>
          <w:lang w:eastAsia="ru-RU"/>
        </w:rPr>
        <w:br/>
        <w:t xml:space="preserve">III - поздняя: значительное ограничение движений в позвоночнике или крупных суставах вследствие их </w:t>
      </w:r>
      <w:proofErr w:type="spellStart"/>
      <w:r w:rsidRPr="00B97A7C">
        <w:rPr>
          <w:rFonts w:ascii="Times New Roman" w:eastAsia="Times New Roman" w:hAnsi="Times New Roman" w:cs="Times New Roman"/>
          <w:sz w:val="28"/>
          <w:szCs w:val="28"/>
          <w:lang w:eastAsia="ru-RU"/>
        </w:rPr>
        <w:t>анкилозирования</w:t>
      </w:r>
      <w:proofErr w:type="spellEnd"/>
      <w:r w:rsidRPr="00B97A7C">
        <w:rPr>
          <w:rFonts w:ascii="Times New Roman" w:eastAsia="Times New Roman" w:hAnsi="Times New Roman" w:cs="Times New Roman"/>
          <w:sz w:val="28"/>
          <w:szCs w:val="28"/>
          <w:lang w:eastAsia="ru-RU"/>
        </w:rPr>
        <w:t xml:space="preserve">, костный анкилоз крестцово-подвздошных сочленений, межпозвонковых и реберно-позвонковых суставов с наличием </w:t>
      </w:r>
      <w:proofErr w:type="spellStart"/>
      <w:r w:rsidRPr="00B97A7C">
        <w:rPr>
          <w:rFonts w:ascii="Times New Roman" w:eastAsia="Times New Roman" w:hAnsi="Times New Roman" w:cs="Times New Roman"/>
          <w:sz w:val="28"/>
          <w:szCs w:val="28"/>
          <w:lang w:eastAsia="ru-RU"/>
        </w:rPr>
        <w:t>оссификации</w:t>
      </w:r>
      <w:proofErr w:type="spellEnd"/>
      <w:r w:rsidRPr="00B97A7C">
        <w:rPr>
          <w:rFonts w:ascii="Times New Roman" w:eastAsia="Times New Roman" w:hAnsi="Times New Roman" w:cs="Times New Roman"/>
          <w:sz w:val="28"/>
          <w:szCs w:val="28"/>
          <w:lang w:eastAsia="ru-RU"/>
        </w:rPr>
        <w:t xml:space="preserve"> связочного аппарата.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Рентгенологическая стадия</w:t>
      </w:r>
      <w:r w:rsidRPr="00B97A7C">
        <w:rPr>
          <w:rFonts w:ascii="Times New Roman" w:eastAsia="Times New Roman" w:hAnsi="Times New Roman" w:cs="Times New Roman"/>
          <w:sz w:val="28"/>
          <w:szCs w:val="28"/>
          <w:lang w:eastAsia="ru-RU"/>
        </w:rPr>
        <w:t>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устанавливается по классификации </w:t>
      </w:r>
      <w:proofErr w:type="spellStart"/>
      <w:r w:rsidRPr="00B97A7C">
        <w:rPr>
          <w:rFonts w:ascii="Times New Roman" w:eastAsia="Times New Roman" w:hAnsi="Times New Roman" w:cs="Times New Roman"/>
          <w:sz w:val="28"/>
          <w:szCs w:val="28"/>
          <w:lang w:eastAsia="ru-RU"/>
        </w:rPr>
        <w:t>Kellgren</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0 стадия - отсутствие изменений;</w:t>
      </w:r>
      <w:r w:rsidRPr="00B97A7C">
        <w:rPr>
          <w:rFonts w:ascii="Times New Roman" w:eastAsia="Times New Roman" w:hAnsi="Times New Roman" w:cs="Times New Roman"/>
          <w:sz w:val="28"/>
          <w:szCs w:val="28"/>
          <w:lang w:eastAsia="ru-RU"/>
        </w:rPr>
        <w:br/>
        <w:t>1 стадия - подозрение на наличие изменений (отсутствие конкретных изменений);</w:t>
      </w:r>
      <w:r w:rsidRPr="00B97A7C">
        <w:rPr>
          <w:rFonts w:ascii="Times New Roman" w:eastAsia="Times New Roman" w:hAnsi="Times New Roman" w:cs="Times New Roman"/>
          <w:sz w:val="28"/>
          <w:szCs w:val="28"/>
          <w:lang w:eastAsia="ru-RU"/>
        </w:rPr>
        <w:br/>
        <w:t>II стадия - минимальные изменения (небольшие, локальные области эрозий или склероза при отсутствии сужения щели);</w:t>
      </w:r>
      <w:r w:rsidRPr="00B97A7C">
        <w:rPr>
          <w:rFonts w:ascii="Times New Roman" w:eastAsia="Times New Roman" w:hAnsi="Times New Roman" w:cs="Times New Roman"/>
          <w:sz w:val="28"/>
          <w:szCs w:val="28"/>
          <w:lang w:eastAsia="ru-RU"/>
        </w:rPr>
        <w:br/>
        <w:t xml:space="preserve">III стадия - безусловные изменения: умеренный или значительный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с эрозиями, склерозом, расширением, сужением или час</w:t>
      </w:r>
      <w:r w:rsidRPr="00B97A7C">
        <w:rPr>
          <w:rFonts w:ascii="Times New Roman" w:eastAsia="Times New Roman" w:hAnsi="Times New Roman" w:cs="Times New Roman"/>
          <w:sz w:val="28"/>
          <w:szCs w:val="28"/>
          <w:lang w:eastAsia="ru-RU"/>
        </w:rPr>
        <w:softHyphen/>
        <w:t>тичным анкилозом;</w:t>
      </w:r>
      <w:r w:rsidRPr="00B97A7C">
        <w:rPr>
          <w:rFonts w:ascii="Times New Roman" w:eastAsia="Times New Roman" w:hAnsi="Times New Roman" w:cs="Times New Roman"/>
          <w:sz w:val="28"/>
          <w:szCs w:val="28"/>
          <w:lang w:eastAsia="ru-RU"/>
        </w:rPr>
        <w:br/>
        <w:t>IV стадия - далеко зашедшие изменения (полный анкилоз).</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Степень активности воспаления:</w:t>
      </w:r>
      <w:r w:rsidRPr="00B97A7C">
        <w:rPr>
          <w:rFonts w:ascii="Times New Roman" w:eastAsia="Times New Roman" w:hAnsi="Times New Roman" w:cs="Times New Roman"/>
          <w:sz w:val="28"/>
          <w:szCs w:val="28"/>
          <w:lang w:eastAsia="ru-RU"/>
        </w:rPr>
        <w:br/>
        <w:t xml:space="preserve">I - минимальная: небольшая скованность и боли в позвоночнике и суставах конечностей по утрам, СОЭ до 20 мм ч, СРБ 6-12 </w:t>
      </w:r>
      <w:proofErr w:type="spellStart"/>
      <w:r w:rsidRPr="00B97A7C">
        <w:rPr>
          <w:rFonts w:ascii="Times New Roman" w:eastAsia="Times New Roman" w:hAnsi="Times New Roman" w:cs="Times New Roman"/>
          <w:sz w:val="28"/>
          <w:szCs w:val="28"/>
          <w:lang w:eastAsia="ru-RU"/>
        </w:rPr>
        <w:t>мкмоль</w:t>
      </w:r>
      <w:proofErr w:type="spellEnd"/>
      <w:r w:rsidRPr="00B97A7C">
        <w:rPr>
          <w:rFonts w:ascii="Times New Roman" w:eastAsia="Times New Roman" w:hAnsi="Times New Roman" w:cs="Times New Roman"/>
          <w:sz w:val="28"/>
          <w:szCs w:val="28"/>
          <w:lang w:eastAsia="ru-RU"/>
        </w:rPr>
        <w:t>/ л:</w:t>
      </w:r>
      <w:r w:rsidRPr="00B97A7C">
        <w:rPr>
          <w:rFonts w:ascii="Times New Roman" w:eastAsia="Times New Roman" w:hAnsi="Times New Roman" w:cs="Times New Roman"/>
          <w:sz w:val="28"/>
          <w:szCs w:val="28"/>
          <w:lang w:eastAsia="ru-RU"/>
        </w:rPr>
        <w:br/>
        <w:t xml:space="preserve">II - умеренная: постоянные боли в позвоночнике и суставах, утренняя скованность — несколько часов, СОЭ до 40 мм ч. СРБ 12-24 </w:t>
      </w:r>
      <w:proofErr w:type="spellStart"/>
      <w:r w:rsidRPr="00B97A7C">
        <w:rPr>
          <w:rFonts w:ascii="Times New Roman" w:eastAsia="Times New Roman" w:hAnsi="Times New Roman" w:cs="Times New Roman"/>
          <w:sz w:val="28"/>
          <w:szCs w:val="28"/>
          <w:lang w:eastAsia="ru-RU"/>
        </w:rPr>
        <w:t>мкмоль</w:t>
      </w:r>
      <w:proofErr w:type="spellEnd"/>
      <w:r w:rsidRPr="00B97A7C">
        <w:rPr>
          <w:rFonts w:ascii="Times New Roman" w:eastAsia="Times New Roman" w:hAnsi="Times New Roman" w:cs="Times New Roman"/>
          <w:sz w:val="28"/>
          <w:szCs w:val="28"/>
          <w:lang w:eastAsia="ru-RU"/>
        </w:rPr>
        <w:t>/ л;</w:t>
      </w:r>
      <w:r w:rsidRPr="00B97A7C">
        <w:rPr>
          <w:rFonts w:ascii="Times New Roman" w:eastAsia="Times New Roman" w:hAnsi="Times New Roman" w:cs="Times New Roman"/>
          <w:sz w:val="28"/>
          <w:szCs w:val="28"/>
          <w:lang w:eastAsia="ru-RU"/>
        </w:rPr>
        <w:br/>
        <w:t xml:space="preserve">III - высокая: сильные постоянные боли в позвоночнике и суставах, скованность в течение всего дня, </w:t>
      </w:r>
      <w:proofErr w:type="spellStart"/>
      <w:r w:rsidRPr="00B97A7C">
        <w:rPr>
          <w:rFonts w:ascii="Times New Roman" w:eastAsia="Times New Roman" w:hAnsi="Times New Roman" w:cs="Times New Roman"/>
          <w:sz w:val="28"/>
          <w:szCs w:val="28"/>
          <w:lang w:eastAsia="ru-RU"/>
        </w:rPr>
        <w:t>зкссудативные</w:t>
      </w:r>
      <w:proofErr w:type="spellEnd"/>
      <w:r w:rsidRPr="00B97A7C">
        <w:rPr>
          <w:rFonts w:ascii="Times New Roman" w:eastAsia="Times New Roman" w:hAnsi="Times New Roman" w:cs="Times New Roman"/>
          <w:sz w:val="28"/>
          <w:szCs w:val="28"/>
          <w:lang w:eastAsia="ru-RU"/>
        </w:rPr>
        <w:t xml:space="preserve"> изменения в суставах, субфебрильная </w:t>
      </w:r>
      <w:r w:rsidRPr="00B97A7C">
        <w:rPr>
          <w:rFonts w:ascii="Times New Roman" w:eastAsia="Times New Roman" w:hAnsi="Times New Roman" w:cs="Times New Roman"/>
          <w:sz w:val="28"/>
          <w:szCs w:val="28"/>
          <w:lang w:eastAsia="ru-RU"/>
        </w:rPr>
        <w:lastRenderedPageBreak/>
        <w:t xml:space="preserve">температура, висцеральные проявления. СОЭ более 40 мм ч, СРБ &gt; 24 </w:t>
      </w:r>
      <w:proofErr w:type="spellStart"/>
      <w:r w:rsidRPr="00B97A7C">
        <w:rPr>
          <w:rFonts w:ascii="Times New Roman" w:eastAsia="Times New Roman" w:hAnsi="Times New Roman" w:cs="Times New Roman"/>
          <w:sz w:val="28"/>
          <w:szCs w:val="28"/>
          <w:lang w:eastAsia="ru-RU"/>
        </w:rPr>
        <w:t>мкмоль</w:t>
      </w:r>
      <w:proofErr w:type="spellEnd"/>
      <w:r w:rsidRPr="00B97A7C">
        <w:rPr>
          <w:rFonts w:ascii="Times New Roman" w:eastAsia="Times New Roman" w:hAnsi="Times New Roman" w:cs="Times New Roman"/>
          <w:sz w:val="28"/>
          <w:szCs w:val="28"/>
          <w:lang w:eastAsia="ru-RU"/>
        </w:rPr>
        <w:t>/ л.</w:t>
      </w:r>
      <w:r w:rsidRPr="00B97A7C">
        <w:rPr>
          <w:rFonts w:ascii="Times New Roman" w:eastAsia="Times New Roman" w:hAnsi="Times New Roman" w:cs="Times New Roman"/>
          <w:sz w:val="28"/>
          <w:szCs w:val="28"/>
          <w:lang w:eastAsia="ru-RU"/>
        </w:rPr>
        <w:br/>
        <w:t>Висцеральные поражения, если таковые имеются.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Степень функциональной недостаточности суставов (ФНС):</w:t>
      </w:r>
      <w:r w:rsidRPr="00B97A7C">
        <w:rPr>
          <w:rFonts w:ascii="Times New Roman" w:eastAsia="Times New Roman" w:hAnsi="Times New Roman" w:cs="Times New Roman"/>
          <w:sz w:val="28"/>
          <w:szCs w:val="28"/>
          <w:lang w:eastAsia="ru-RU"/>
        </w:rPr>
        <w:br/>
        <w:t>I - изменение физиологических изгибов позвоночника, ограничение подвижности позвоночника и суставов:</w:t>
      </w:r>
      <w:r w:rsidRPr="00B97A7C">
        <w:rPr>
          <w:rFonts w:ascii="Times New Roman" w:eastAsia="Times New Roman" w:hAnsi="Times New Roman" w:cs="Times New Roman"/>
          <w:sz w:val="28"/>
          <w:szCs w:val="28"/>
          <w:lang w:eastAsia="ru-RU"/>
        </w:rPr>
        <w:br/>
        <w:t>II - значительное ограничение подвижности позвоночника и суставов, вследствие чего больной вынужден менять профессию (третья группа инвалидности);</w:t>
      </w:r>
      <w:r w:rsidRPr="00B97A7C">
        <w:rPr>
          <w:rFonts w:ascii="Times New Roman" w:eastAsia="Times New Roman" w:hAnsi="Times New Roman" w:cs="Times New Roman"/>
          <w:sz w:val="28"/>
          <w:szCs w:val="28"/>
          <w:lang w:eastAsia="ru-RU"/>
        </w:rPr>
        <w:br/>
        <w:t>III - анкилоз всех отделов позвоночника и тазобедренных суставов, вызывающий полную потерю трудоспособности (вторая группа инвалидности) либо невозможность самообслуживания (первая группа инвалидности).</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 xml:space="preserve">Определение активности и тяжести </w:t>
      </w:r>
      <w:proofErr w:type="spellStart"/>
      <w:r w:rsidRPr="00D85C55">
        <w:rPr>
          <w:rFonts w:ascii="Times New Roman" w:eastAsia="Times New Roman" w:hAnsi="Times New Roman" w:cs="Times New Roman"/>
          <w:b/>
          <w:bCs/>
          <w:sz w:val="28"/>
          <w:szCs w:val="28"/>
          <w:lang w:eastAsia="ru-RU"/>
        </w:rPr>
        <w:t>анкилозирующего</w:t>
      </w:r>
      <w:proofErr w:type="spellEnd"/>
      <w:r w:rsidRPr="00D85C55">
        <w:rPr>
          <w:rFonts w:ascii="Times New Roman" w:eastAsia="Times New Roman" w:hAnsi="Times New Roman" w:cs="Times New Roman"/>
          <w:b/>
          <w:bCs/>
          <w:sz w:val="28"/>
          <w:szCs w:val="28"/>
          <w:lang w:eastAsia="ru-RU"/>
        </w:rPr>
        <w:t xml:space="preserve"> спондилита</w:t>
      </w:r>
      <w:r w:rsidRPr="00B97A7C">
        <w:rPr>
          <w:rFonts w:ascii="Times New Roman" w:eastAsia="Times New Roman" w:hAnsi="Times New Roman" w:cs="Times New Roman"/>
          <w:sz w:val="28"/>
          <w:szCs w:val="28"/>
          <w:lang w:eastAsia="ru-RU"/>
        </w:rPr>
        <w:br/>
        <w:t>Индекс BASDAI (</w:t>
      </w:r>
      <w:proofErr w:type="spellStart"/>
      <w:r w:rsidRPr="00B97A7C">
        <w:rPr>
          <w:rFonts w:ascii="Times New Roman" w:eastAsia="Times New Roman" w:hAnsi="Times New Roman" w:cs="Times New Roman"/>
          <w:sz w:val="28"/>
          <w:szCs w:val="28"/>
          <w:lang w:eastAsia="ru-RU"/>
        </w:rPr>
        <w:t>Bath</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Ankylosing</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Spondilitis</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Disease</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Activity</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Index</w:t>
      </w:r>
      <w:proofErr w:type="spellEnd"/>
      <w:r w:rsidRPr="00B97A7C">
        <w:rPr>
          <w:rFonts w:ascii="Times New Roman" w:eastAsia="Times New Roman" w:hAnsi="Times New Roman" w:cs="Times New Roman"/>
          <w:sz w:val="28"/>
          <w:szCs w:val="28"/>
          <w:lang w:eastAsia="ru-RU"/>
        </w:rPr>
        <w:t>). Опросник для определения индекса BASDAI состоит из 6 вопросов, на которые пациент отвечает самостоятельно.</w:t>
      </w:r>
      <w:r w:rsidRPr="00B97A7C">
        <w:rPr>
          <w:rFonts w:ascii="Times New Roman" w:eastAsia="Times New Roman" w:hAnsi="Times New Roman" w:cs="Times New Roman"/>
          <w:sz w:val="28"/>
          <w:szCs w:val="28"/>
          <w:lang w:eastAsia="ru-RU"/>
        </w:rPr>
        <w:br/>
        <w:t>Для ответа на каждый вопрос предлагается 10-сантиметровая визуальная аналоговая шкала (левая крайняя точка соответствует отсутствию данного признака, правая крайняя точка соответствует крайней степени выраженности признака; для последнего вопроса о длительности скованности - 2 ч и более). Пациент должен ответить на каждый из приведённых ниже вопросов, выразив свой ответ чёрточкой, пересекающей 10-сантиметровую линию в избранном им месте.</w:t>
      </w:r>
      <w:r w:rsidRPr="00B97A7C">
        <w:rPr>
          <w:rFonts w:ascii="Times New Roman" w:eastAsia="Times New Roman" w:hAnsi="Times New Roman" w:cs="Times New Roman"/>
          <w:sz w:val="28"/>
          <w:szCs w:val="28"/>
          <w:lang w:eastAsia="ru-RU"/>
        </w:rPr>
        <w:br/>
        <w:t>1.Как бы Вы расценили уровень общей слабости (утомляемости) за последнюю неделю?</w:t>
      </w:r>
      <w:r w:rsidRPr="00B97A7C">
        <w:rPr>
          <w:rFonts w:ascii="Times New Roman" w:eastAsia="Times New Roman" w:hAnsi="Times New Roman" w:cs="Times New Roman"/>
          <w:sz w:val="28"/>
          <w:szCs w:val="28"/>
          <w:lang w:eastAsia="ru-RU"/>
        </w:rPr>
        <w:br/>
        <w:t>2.Как бы Вы расценили уровень боли в шее, спине или тазобедренных суставах за последнюю неделю?</w:t>
      </w:r>
      <w:r w:rsidRPr="00B97A7C">
        <w:rPr>
          <w:rFonts w:ascii="Times New Roman" w:eastAsia="Times New Roman" w:hAnsi="Times New Roman" w:cs="Times New Roman"/>
          <w:sz w:val="28"/>
          <w:szCs w:val="28"/>
          <w:lang w:eastAsia="ru-RU"/>
        </w:rPr>
        <w:br/>
        <w:t>3.Как бы Вы расценили уровень боли (или степень припухлости) в суставах (помимо шеи, спины или тазобедренных суставов) за последнюю неделю?</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t xml:space="preserve">4.Как бы Вы расценили степень неприятных ощущений, возникающих при </w:t>
      </w:r>
      <w:proofErr w:type="spellStart"/>
      <w:r w:rsidRPr="00B97A7C">
        <w:rPr>
          <w:rFonts w:ascii="Times New Roman" w:eastAsia="Times New Roman" w:hAnsi="Times New Roman" w:cs="Times New Roman"/>
          <w:sz w:val="28"/>
          <w:szCs w:val="28"/>
          <w:lang w:eastAsia="ru-RU"/>
        </w:rPr>
        <w:t>дотрагивании</w:t>
      </w:r>
      <w:proofErr w:type="spellEnd"/>
      <w:r w:rsidRPr="00B97A7C">
        <w:rPr>
          <w:rFonts w:ascii="Times New Roman" w:eastAsia="Times New Roman" w:hAnsi="Times New Roman" w:cs="Times New Roman"/>
          <w:sz w:val="28"/>
          <w:szCs w:val="28"/>
          <w:lang w:eastAsia="ru-RU"/>
        </w:rPr>
        <w:t xml:space="preserve"> до каких-либо болезненных областей или давлении на них (за последнюю неделю)?</w:t>
      </w:r>
      <w:r w:rsidRPr="00B97A7C">
        <w:rPr>
          <w:rFonts w:ascii="Times New Roman" w:eastAsia="Times New Roman" w:hAnsi="Times New Roman" w:cs="Times New Roman"/>
          <w:sz w:val="28"/>
          <w:szCs w:val="28"/>
          <w:lang w:eastAsia="ru-RU"/>
        </w:rPr>
        <w:br/>
        <w:t>5.Как бы Вы расценили степень выраженности утренней скованности, воз</w:t>
      </w:r>
      <w:r w:rsidRPr="00B97A7C">
        <w:rPr>
          <w:rFonts w:ascii="Times New Roman" w:eastAsia="Times New Roman" w:hAnsi="Times New Roman" w:cs="Times New Roman"/>
          <w:sz w:val="28"/>
          <w:szCs w:val="28"/>
          <w:lang w:eastAsia="ru-RU"/>
        </w:rPr>
        <w:softHyphen/>
        <w:t>никающей после просыпания (за последнюю неделю)?</w:t>
      </w:r>
      <w:r w:rsidRPr="00B97A7C">
        <w:rPr>
          <w:rFonts w:ascii="Times New Roman" w:eastAsia="Times New Roman" w:hAnsi="Times New Roman" w:cs="Times New Roman"/>
          <w:sz w:val="28"/>
          <w:szCs w:val="28"/>
          <w:lang w:eastAsia="ru-RU"/>
        </w:rPr>
        <w:br/>
        <w:t>6.Как долго длится утренняя скованность, возникающая после просыпания (за последнюю неделю)?</w:t>
      </w:r>
      <w:r w:rsidRPr="00B97A7C">
        <w:rPr>
          <w:rFonts w:ascii="Times New Roman" w:eastAsia="Times New Roman" w:hAnsi="Times New Roman" w:cs="Times New Roman"/>
          <w:sz w:val="28"/>
          <w:szCs w:val="28"/>
          <w:lang w:eastAsia="ru-RU"/>
        </w:rPr>
        <w:br/>
        <w:t>Врач с помощью линейки измеряет длину отмеченных отрезков линий, вычисляет сумму и среднюю величину. Величина индекса BASDAI, превышающая 4, свидетельствует о высокой активности заболевания.</w:t>
      </w:r>
      <w:r w:rsidRPr="00B97A7C">
        <w:rPr>
          <w:rFonts w:ascii="Times New Roman" w:eastAsia="Times New Roman" w:hAnsi="Times New Roman" w:cs="Times New Roman"/>
          <w:sz w:val="28"/>
          <w:szCs w:val="28"/>
          <w:lang w:eastAsia="ru-RU"/>
        </w:rPr>
        <w:br/>
        <w:t>- Индекс BASFI (</w:t>
      </w:r>
      <w:proofErr w:type="spellStart"/>
      <w:r w:rsidRPr="00B97A7C">
        <w:rPr>
          <w:rFonts w:ascii="Times New Roman" w:eastAsia="Times New Roman" w:hAnsi="Times New Roman" w:cs="Times New Roman"/>
          <w:sz w:val="28"/>
          <w:szCs w:val="28"/>
          <w:lang w:eastAsia="ru-RU"/>
        </w:rPr>
        <w:t>Bath</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Ankylosing</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Spondilitis</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Functional</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Index</w:t>
      </w:r>
      <w:proofErr w:type="spellEnd"/>
      <w:r w:rsidRPr="00B97A7C">
        <w:rPr>
          <w:rFonts w:ascii="Times New Roman" w:eastAsia="Times New Roman" w:hAnsi="Times New Roman" w:cs="Times New Roman"/>
          <w:sz w:val="28"/>
          <w:szCs w:val="28"/>
          <w:lang w:eastAsia="ru-RU"/>
        </w:rPr>
        <w:t>) содержит 10 аналоговых шкал, связанных с оценкой повседневной активности.</w:t>
      </w:r>
      <w:r w:rsidRPr="00B97A7C">
        <w:rPr>
          <w:rFonts w:ascii="Times New Roman" w:eastAsia="Times New Roman" w:hAnsi="Times New Roman" w:cs="Times New Roman"/>
          <w:sz w:val="28"/>
          <w:szCs w:val="28"/>
          <w:lang w:eastAsia="ru-RU"/>
        </w:rPr>
        <w:br/>
        <w:t>- Индекс DFI (</w:t>
      </w:r>
      <w:proofErr w:type="spellStart"/>
      <w:r w:rsidRPr="00B97A7C">
        <w:rPr>
          <w:rFonts w:ascii="Times New Roman" w:eastAsia="Times New Roman" w:hAnsi="Times New Roman" w:cs="Times New Roman"/>
          <w:sz w:val="28"/>
          <w:szCs w:val="28"/>
          <w:lang w:eastAsia="ru-RU"/>
        </w:rPr>
        <w:t>Dougados</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Functional</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Index</w:t>
      </w:r>
      <w:proofErr w:type="spellEnd"/>
      <w:r w:rsidRPr="00B97A7C">
        <w:rPr>
          <w:rFonts w:ascii="Times New Roman" w:eastAsia="Times New Roman" w:hAnsi="Times New Roman" w:cs="Times New Roman"/>
          <w:sz w:val="28"/>
          <w:szCs w:val="28"/>
          <w:lang w:eastAsia="ru-RU"/>
        </w:rPr>
        <w:t>) состоит из 20 ответов на вопросы, касающиеся повседневной активности.</w:t>
      </w:r>
      <w:r w:rsidRPr="00B97A7C">
        <w:rPr>
          <w:rFonts w:ascii="Times New Roman" w:eastAsia="Times New Roman" w:hAnsi="Times New Roman" w:cs="Times New Roman"/>
          <w:sz w:val="28"/>
          <w:szCs w:val="28"/>
          <w:lang w:eastAsia="ru-RU"/>
        </w:rPr>
        <w:br/>
        <w:t>- Исследование индексов в динамике имеет значение для оценки эффективности лечения АС</w:t>
      </w:r>
    </w:p>
    <w:p w:rsidR="00B97A7C" w:rsidRPr="00B97A7C" w:rsidRDefault="00B97A7C" w:rsidP="00D85C55">
      <w:pPr>
        <w:shd w:val="clear" w:color="auto" w:fill="6A9FBE"/>
        <w:spacing w:after="0" w:line="360" w:lineRule="auto"/>
        <w:ind w:firstLine="709"/>
        <w:outlineLvl w:val="1"/>
        <w:rPr>
          <w:rFonts w:ascii="Times New Roman" w:eastAsia="Times New Roman" w:hAnsi="Times New Roman" w:cs="Times New Roman"/>
          <w:b/>
          <w:bCs/>
          <w:color w:val="FFFFFF"/>
          <w:sz w:val="28"/>
          <w:szCs w:val="28"/>
          <w:lang w:eastAsia="ru-RU"/>
        </w:rPr>
      </w:pPr>
      <w:r w:rsidRPr="00B97A7C">
        <w:rPr>
          <w:rFonts w:ascii="Times New Roman" w:eastAsia="Times New Roman" w:hAnsi="Times New Roman" w:cs="Times New Roman"/>
          <w:b/>
          <w:bCs/>
          <w:color w:val="FFFFFF"/>
          <w:sz w:val="28"/>
          <w:szCs w:val="28"/>
          <w:lang w:eastAsia="ru-RU"/>
        </w:rPr>
        <w:t>Диагностика</w:t>
      </w:r>
    </w:p>
    <w:p w:rsid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sz w:val="28"/>
          <w:szCs w:val="28"/>
          <w:lang w:eastAsia="ru-RU"/>
        </w:rPr>
        <w:br/>
        <w:t>II. МЕТОДЫ, ПОДХОДЫ И ПРОЦЕДУРЫ ДИАГНОСТИКИ И ЛЕЧЕНИЯ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Диагностические критерии: </w:t>
      </w:r>
      <w:r w:rsidRPr="00B97A7C">
        <w:rPr>
          <w:rFonts w:ascii="Times New Roman" w:eastAsia="Times New Roman" w:hAnsi="Times New Roman" w:cs="Times New Roman"/>
          <w:sz w:val="28"/>
          <w:szCs w:val="28"/>
          <w:lang w:eastAsia="ru-RU"/>
        </w:rPr>
        <w:t>для установления диагноза АС применяются модифицированные Нью-Йоркские критерии и классификационные критерии, предложенные Европейской группой по изучению спондилоартритов.</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Модифицированные нью-йоркские критерии</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Клинические признаки:</w:t>
      </w:r>
      <w:r w:rsidRPr="00B97A7C">
        <w:rPr>
          <w:rFonts w:ascii="Times New Roman" w:eastAsia="Times New Roman" w:hAnsi="Times New Roman" w:cs="Times New Roman"/>
          <w:sz w:val="28"/>
          <w:szCs w:val="28"/>
          <w:lang w:eastAsia="ru-RU"/>
        </w:rPr>
        <w:br/>
        <w:t xml:space="preserve">1. Боли в нижней части спины, длящиеся не менее 3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 уменьшающиеся после физических упражнений и не стихающие в покое.</w:t>
      </w:r>
      <w:r w:rsidRPr="00B97A7C">
        <w:rPr>
          <w:rFonts w:ascii="Times New Roman" w:eastAsia="Times New Roman" w:hAnsi="Times New Roman" w:cs="Times New Roman"/>
          <w:sz w:val="28"/>
          <w:szCs w:val="28"/>
          <w:lang w:eastAsia="ru-RU"/>
        </w:rPr>
        <w:br/>
        <w:t xml:space="preserve">2. Ограничения движений в поясничном отделе позвоночника в сагиттальной и </w:t>
      </w:r>
      <w:r w:rsidRPr="00B97A7C">
        <w:rPr>
          <w:rFonts w:ascii="Times New Roman" w:eastAsia="Times New Roman" w:hAnsi="Times New Roman" w:cs="Times New Roman"/>
          <w:sz w:val="28"/>
          <w:szCs w:val="28"/>
          <w:lang w:eastAsia="ru-RU"/>
        </w:rPr>
        <w:lastRenderedPageBreak/>
        <w:t>фронтальной плоскости.</w:t>
      </w:r>
      <w:r w:rsidRPr="00B97A7C">
        <w:rPr>
          <w:rFonts w:ascii="Times New Roman" w:eastAsia="Times New Roman" w:hAnsi="Times New Roman" w:cs="Times New Roman"/>
          <w:sz w:val="28"/>
          <w:szCs w:val="28"/>
          <w:lang w:eastAsia="ru-RU"/>
        </w:rPr>
        <w:br/>
        <w:t>3. Уменьшение дыхательной экскурсии грудной клетки в сравнении с нормальными значениями (для пола и возраста).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Рентгенологические признаки:</w:t>
      </w:r>
      <w:r w:rsidRPr="00B97A7C">
        <w:rPr>
          <w:rFonts w:ascii="Times New Roman" w:eastAsia="Times New Roman" w:hAnsi="Times New Roman" w:cs="Times New Roman"/>
          <w:sz w:val="28"/>
          <w:szCs w:val="28"/>
          <w:lang w:eastAsia="ru-RU"/>
        </w:rPr>
        <w:br/>
        <w:t xml:space="preserve">1. Двухсторонний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(стадии 2-4).</w:t>
      </w:r>
      <w:r w:rsidRPr="00B97A7C">
        <w:rPr>
          <w:rFonts w:ascii="Times New Roman" w:eastAsia="Times New Roman" w:hAnsi="Times New Roman" w:cs="Times New Roman"/>
          <w:sz w:val="28"/>
          <w:szCs w:val="28"/>
          <w:lang w:eastAsia="ru-RU"/>
        </w:rPr>
        <w:br/>
        <w:t xml:space="preserve">2. Односторонний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(стадии 3-4).</w:t>
      </w:r>
      <w:r w:rsidRPr="00B97A7C">
        <w:rPr>
          <w:rFonts w:ascii="Times New Roman" w:eastAsia="Times New Roman" w:hAnsi="Times New Roman" w:cs="Times New Roman"/>
          <w:sz w:val="28"/>
          <w:szCs w:val="28"/>
          <w:lang w:eastAsia="ru-RU"/>
        </w:rPr>
        <w:br/>
        <w:t xml:space="preserve">Примечание. К стадии 1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относят подозрения на наличие изменений, ко 2-й – наличие эрозий и склероза, к 3-й - наличие эрозий, склероза и частичного анкилоза, к 4-й – полный анкилоз.</w:t>
      </w:r>
      <w:r w:rsidRPr="00B97A7C">
        <w:rPr>
          <w:rFonts w:ascii="Times New Roman" w:eastAsia="Times New Roman" w:hAnsi="Times New Roman" w:cs="Times New Roman"/>
          <w:sz w:val="28"/>
          <w:szCs w:val="28"/>
          <w:lang w:eastAsia="ru-RU"/>
        </w:rPr>
        <w:br/>
        <w:t>Диагноз считается достоверным при наличии одного рентгенологического признака в сочетании с любым клиническим. Чувствительность критериев составляет 83%, специфичность – 98%.</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Указанные критерии, основанные на клинико-рентгенологических признаках, не позволяют установить диагноз АС в ранние сроки, так как достоверные изменения крестцово-подвздошных суставов выявляются, как правило, только через много месяцев после начала заболевания.</w:t>
      </w:r>
      <w:r w:rsidRPr="00B97A7C">
        <w:rPr>
          <w:rFonts w:ascii="Times New Roman" w:eastAsia="Times New Roman" w:hAnsi="Times New Roman" w:cs="Times New Roman"/>
          <w:sz w:val="28"/>
          <w:szCs w:val="28"/>
          <w:lang w:eastAsia="ru-RU"/>
        </w:rPr>
        <w:br/>
        <w:t>На ранних стадиях АС, особенно если на первый план в клинической картине выходит поражение суставов, бывает необходимо проведение дифференциальной диагностики с другими заболеваниями суставов. С этой целью могут быть использованы классификационные критерии спондилоартритов, предложенные Европейской группой по изучению спондилоартритов.</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Классификационные критерии спондилоартритов европейской группы</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Большие критерии:</w:t>
      </w:r>
      <w:r w:rsidRPr="00B97A7C">
        <w:rPr>
          <w:rFonts w:ascii="Times New Roman" w:eastAsia="Times New Roman" w:hAnsi="Times New Roman" w:cs="Times New Roman"/>
          <w:sz w:val="28"/>
          <w:szCs w:val="28"/>
          <w:lang w:eastAsia="ru-RU"/>
        </w:rPr>
        <w:br/>
        <w:t>1. Боль в позвоночнике воспалительного характера.</w:t>
      </w:r>
      <w:r w:rsidRPr="00B97A7C">
        <w:rPr>
          <w:rFonts w:ascii="Times New Roman" w:eastAsia="Times New Roman" w:hAnsi="Times New Roman" w:cs="Times New Roman"/>
          <w:sz w:val="28"/>
          <w:szCs w:val="28"/>
          <w:lang w:eastAsia="ru-RU"/>
        </w:rPr>
        <w:br/>
        <w:t xml:space="preserve">2. </w:t>
      </w:r>
      <w:proofErr w:type="spellStart"/>
      <w:r w:rsidRPr="00B97A7C">
        <w:rPr>
          <w:rFonts w:ascii="Times New Roman" w:eastAsia="Times New Roman" w:hAnsi="Times New Roman" w:cs="Times New Roman"/>
          <w:sz w:val="28"/>
          <w:szCs w:val="28"/>
          <w:lang w:eastAsia="ru-RU"/>
        </w:rPr>
        <w:t>Синовит</w:t>
      </w:r>
      <w:proofErr w:type="spellEnd"/>
      <w:r w:rsidRPr="00B97A7C">
        <w:rPr>
          <w:rFonts w:ascii="Times New Roman" w:eastAsia="Times New Roman" w:hAnsi="Times New Roman" w:cs="Times New Roman"/>
          <w:sz w:val="28"/>
          <w:szCs w:val="28"/>
          <w:lang w:eastAsia="ru-RU"/>
        </w:rPr>
        <w:t xml:space="preserve"> (наличие в прошлом или в настоящее время несимметричного </w:t>
      </w:r>
      <w:r w:rsidRPr="00B97A7C">
        <w:rPr>
          <w:rFonts w:ascii="Times New Roman" w:eastAsia="Times New Roman" w:hAnsi="Times New Roman" w:cs="Times New Roman"/>
          <w:sz w:val="28"/>
          <w:szCs w:val="28"/>
          <w:lang w:eastAsia="ru-RU"/>
        </w:rPr>
        <w:lastRenderedPageBreak/>
        <w:t>артрита или артрита преимущественно суставов нижних конечностей).</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Малые критерии:</w:t>
      </w:r>
      <w:r w:rsidRPr="00B97A7C">
        <w:rPr>
          <w:rFonts w:ascii="Times New Roman" w:eastAsia="Times New Roman" w:hAnsi="Times New Roman" w:cs="Times New Roman"/>
          <w:sz w:val="28"/>
          <w:szCs w:val="28"/>
          <w:lang w:eastAsia="ru-RU"/>
        </w:rPr>
        <w:br/>
        <w:t xml:space="preserve">1. Семейные случаи заболевания (наличие у родственников первой или второй степени родства одного из следующих заболеваний: </w:t>
      </w:r>
      <w:proofErr w:type="spellStart"/>
      <w:r w:rsidRPr="00B97A7C">
        <w:rPr>
          <w:rFonts w:ascii="Times New Roman" w:eastAsia="Times New Roman" w:hAnsi="Times New Roman" w:cs="Times New Roman"/>
          <w:sz w:val="28"/>
          <w:szCs w:val="28"/>
          <w:lang w:eastAsia="ru-RU"/>
        </w:rPr>
        <w:t>анкилозирующий</w:t>
      </w:r>
      <w:proofErr w:type="spellEnd"/>
      <w:r w:rsidRPr="00B97A7C">
        <w:rPr>
          <w:rFonts w:ascii="Times New Roman" w:eastAsia="Times New Roman" w:hAnsi="Times New Roman" w:cs="Times New Roman"/>
          <w:sz w:val="28"/>
          <w:szCs w:val="28"/>
          <w:lang w:eastAsia="ru-RU"/>
        </w:rPr>
        <w:t xml:space="preserve"> спондилит, псориаз, реактивный артрит, острый </w:t>
      </w:r>
      <w:proofErr w:type="spellStart"/>
      <w:r w:rsidRPr="00B97A7C">
        <w:rPr>
          <w:rFonts w:ascii="Times New Roman" w:eastAsia="Times New Roman" w:hAnsi="Times New Roman" w:cs="Times New Roman"/>
          <w:sz w:val="28"/>
          <w:szCs w:val="28"/>
          <w:lang w:eastAsia="ru-RU"/>
        </w:rPr>
        <w:t>увеит</w:t>
      </w:r>
      <w:proofErr w:type="spellEnd"/>
      <w:r w:rsidRPr="00B97A7C">
        <w:rPr>
          <w:rFonts w:ascii="Times New Roman" w:eastAsia="Times New Roman" w:hAnsi="Times New Roman" w:cs="Times New Roman"/>
          <w:sz w:val="28"/>
          <w:szCs w:val="28"/>
          <w:lang w:eastAsia="ru-RU"/>
        </w:rPr>
        <w:t>, неспецифический язвенный колит или болезнь Крона).</w:t>
      </w:r>
      <w:r w:rsidRPr="00B97A7C">
        <w:rPr>
          <w:rFonts w:ascii="Times New Roman" w:eastAsia="Times New Roman" w:hAnsi="Times New Roman" w:cs="Times New Roman"/>
          <w:sz w:val="28"/>
          <w:szCs w:val="28"/>
          <w:lang w:eastAsia="ru-RU"/>
        </w:rPr>
        <w:br/>
        <w:t>2. Псориаз (наличие в прошлом или в настоящее время псориаза, диагноз которого установлен врачом).</w:t>
      </w:r>
      <w:r w:rsidRPr="00B97A7C">
        <w:rPr>
          <w:rFonts w:ascii="Times New Roman" w:eastAsia="Times New Roman" w:hAnsi="Times New Roman" w:cs="Times New Roman"/>
          <w:sz w:val="28"/>
          <w:szCs w:val="28"/>
          <w:lang w:eastAsia="ru-RU"/>
        </w:rPr>
        <w:br/>
        <w:t>3. Воспалительные заболевания кишечника (наличие в прошлом или в настоящее время болезни Крона или неспецифического язвенного колита, диагноз которых установлен врачом и подтверждён при рентгенологическом или эндоскопическом исследовании).</w:t>
      </w:r>
      <w:r w:rsidRPr="00B97A7C">
        <w:rPr>
          <w:rFonts w:ascii="Times New Roman" w:eastAsia="Times New Roman" w:hAnsi="Times New Roman" w:cs="Times New Roman"/>
          <w:sz w:val="28"/>
          <w:szCs w:val="28"/>
          <w:lang w:eastAsia="ru-RU"/>
        </w:rPr>
        <w:br/>
        <w:t>4. Перемещающаяся боль в ягодичных областях (наличие в прошлом или в настоящее время альтернирующих болей в ягодичных областях).</w:t>
      </w:r>
      <w:r w:rsidRPr="00B97A7C">
        <w:rPr>
          <w:rFonts w:ascii="Times New Roman" w:eastAsia="Times New Roman" w:hAnsi="Times New Roman" w:cs="Times New Roman"/>
          <w:sz w:val="28"/>
          <w:szCs w:val="28"/>
          <w:lang w:eastAsia="ru-RU"/>
        </w:rPr>
        <w:br/>
        <w:t xml:space="preserve">5. </w:t>
      </w:r>
      <w:proofErr w:type="spellStart"/>
      <w:r w:rsidRPr="00B97A7C">
        <w:rPr>
          <w:rFonts w:ascii="Times New Roman" w:eastAsia="Times New Roman" w:hAnsi="Times New Roman" w:cs="Times New Roman"/>
          <w:sz w:val="28"/>
          <w:szCs w:val="28"/>
          <w:lang w:eastAsia="ru-RU"/>
        </w:rPr>
        <w:t>Энтезопатии</w:t>
      </w:r>
      <w:proofErr w:type="spellEnd"/>
      <w:r w:rsidRPr="00B97A7C">
        <w:rPr>
          <w:rFonts w:ascii="Times New Roman" w:eastAsia="Times New Roman" w:hAnsi="Times New Roman" w:cs="Times New Roman"/>
          <w:sz w:val="28"/>
          <w:szCs w:val="28"/>
          <w:lang w:eastAsia="ru-RU"/>
        </w:rPr>
        <w:t xml:space="preserve"> (наличие в прошлом или в настоящее время боли или болезненности в области прикрепления </w:t>
      </w:r>
      <w:proofErr w:type="spellStart"/>
      <w:r w:rsidRPr="00B97A7C">
        <w:rPr>
          <w:rFonts w:ascii="Times New Roman" w:eastAsia="Times New Roman" w:hAnsi="Times New Roman" w:cs="Times New Roman"/>
          <w:sz w:val="28"/>
          <w:szCs w:val="28"/>
          <w:lang w:eastAsia="ru-RU"/>
        </w:rPr>
        <w:t>ахиллового</w:t>
      </w:r>
      <w:proofErr w:type="spellEnd"/>
      <w:r w:rsidRPr="00B97A7C">
        <w:rPr>
          <w:rFonts w:ascii="Times New Roman" w:eastAsia="Times New Roman" w:hAnsi="Times New Roman" w:cs="Times New Roman"/>
          <w:sz w:val="28"/>
          <w:szCs w:val="28"/>
          <w:lang w:eastAsia="ru-RU"/>
        </w:rPr>
        <w:t xml:space="preserve"> сухожилия или подошвенного апоневроза).</w:t>
      </w:r>
      <w:r w:rsidRPr="00B97A7C">
        <w:rPr>
          <w:rFonts w:ascii="Times New Roman" w:eastAsia="Times New Roman" w:hAnsi="Times New Roman" w:cs="Times New Roman"/>
          <w:sz w:val="28"/>
          <w:szCs w:val="28"/>
          <w:lang w:eastAsia="ru-RU"/>
        </w:rPr>
        <w:br/>
        <w:t xml:space="preserve">6. Острая диарея (эпизод диареи в течение 1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 xml:space="preserve"> до развития артрита).</w:t>
      </w:r>
      <w:r w:rsidRPr="00B97A7C">
        <w:rPr>
          <w:rFonts w:ascii="Times New Roman" w:eastAsia="Times New Roman" w:hAnsi="Times New Roman" w:cs="Times New Roman"/>
          <w:sz w:val="28"/>
          <w:szCs w:val="28"/>
          <w:lang w:eastAsia="ru-RU"/>
        </w:rPr>
        <w:br/>
        <w:t>7. Уретрит (</w:t>
      </w:r>
      <w:proofErr w:type="spellStart"/>
      <w:r w:rsidRPr="00B97A7C">
        <w:rPr>
          <w:rFonts w:ascii="Times New Roman" w:eastAsia="Times New Roman" w:hAnsi="Times New Roman" w:cs="Times New Roman"/>
          <w:sz w:val="28"/>
          <w:szCs w:val="28"/>
          <w:lang w:eastAsia="ru-RU"/>
        </w:rPr>
        <w:t>негонококковый</w:t>
      </w:r>
      <w:proofErr w:type="spellEnd"/>
      <w:r w:rsidRPr="00B97A7C">
        <w:rPr>
          <w:rFonts w:ascii="Times New Roman" w:eastAsia="Times New Roman" w:hAnsi="Times New Roman" w:cs="Times New Roman"/>
          <w:sz w:val="28"/>
          <w:szCs w:val="28"/>
          <w:lang w:eastAsia="ru-RU"/>
        </w:rPr>
        <w:t xml:space="preserve"> уретрит или цервицит в течение 1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 xml:space="preserve"> до развития артрита).</w:t>
      </w:r>
      <w:r w:rsidRPr="00B97A7C">
        <w:rPr>
          <w:rFonts w:ascii="Times New Roman" w:eastAsia="Times New Roman" w:hAnsi="Times New Roman" w:cs="Times New Roman"/>
          <w:sz w:val="28"/>
          <w:szCs w:val="28"/>
          <w:lang w:eastAsia="ru-RU"/>
        </w:rPr>
        <w:br/>
        <w:t xml:space="preserve">8.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(двухсторонний – при наличии 2-4-й стадий, односторонний – при наличии 3-4-й стадий).</w:t>
      </w:r>
      <w:r w:rsidRPr="00B97A7C">
        <w:rPr>
          <w:rFonts w:ascii="Times New Roman" w:eastAsia="Times New Roman" w:hAnsi="Times New Roman" w:cs="Times New Roman"/>
          <w:sz w:val="28"/>
          <w:szCs w:val="28"/>
          <w:lang w:eastAsia="ru-RU"/>
        </w:rPr>
        <w:br/>
        <w:t>Заболевание может быть классифицировано как спондилоартрит при наличии любого большого и хотя бы одного малого критерия. Чувствительность и специфичность этих критериев составляет 87%.</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Алгоритм ранней диагностики</w:t>
      </w:r>
      <w:r w:rsidRPr="00B97A7C">
        <w:rPr>
          <w:rFonts w:ascii="Times New Roman" w:eastAsia="Times New Roman" w:hAnsi="Times New Roman" w:cs="Times New Roman"/>
          <w:sz w:val="28"/>
          <w:szCs w:val="28"/>
          <w:lang w:eastAsia="ru-RU"/>
        </w:rPr>
        <w:br/>
        <w:t xml:space="preserve">Алгоритм ранней диагностики применяют при целенаправленном обследовании пациентов молодого возраста, у которых отмечаются боли в нижней части спины </w:t>
      </w:r>
      <w:r w:rsidRPr="00B97A7C">
        <w:rPr>
          <w:rFonts w:ascii="Times New Roman" w:eastAsia="Times New Roman" w:hAnsi="Times New Roman" w:cs="Times New Roman"/>
          <w:sz w:val="28"/>
          <w:szCs w:val="28"/>
          <w:lang w:eastAsia="ru-RU"/>
        </w:rPr>
        <w:lastRenderedPageBreak/>
        <w:t>воспалительного ритма. Воспалительный характер болей устанавливается в том случае, если имеются любые 4 из 5 следующих признаков:</w:t>
      </w:r>
      <w:r w:rsidRPr="00B97A7C">
        <w:rPr>
          <w:rFonts w:ascii="Times New Roman" w:eastAsia="Times New Roman" w:hAnsi="Times New Roman" w:cs="Times New Roman"/>
          <w:sz w:val="28"/>
          <w:szCs w:val="28"/>
          <w:lang w:eastAsia="ru-RU"/>
        </w:rPr>
        <w:br/>
        <w:t>- возраст начала болей менее 45 лет,</w:t>
      </w:r>
      <w:r w:rsidRPr="00B97A7C">
        <w:rPr>
          <w:rFonts w:ascii="Times New Roman" w:eastAsia="Times New Roman" w:hAnsi="Times New Roman" w:cs="Times New Roman"/>
          <w:sz w:val="28"/>
          <w:szCs w:val="28"/>
          <w:lang w:eastAsia="ru-RU"/>
        </w:rPr>
        <w:br/>
        <w:t>- постепенное начало болевых ощущений,</w:t>
      </w:r>
      <w:r w:rsidRPr="00B97A7C">
        <w:rPr>
          <w:rFonts w:ascii="Times New Roman" w:eastAsia="Times New Roman" w:hAnsi="Times New Roman" w:cs="Times New Roman"/>
          <w:sz w:val="28"/>
          <w:szCs w:val="28"/>
          <w:lang w:eastAsia="ru-RU"/>
        </w:rPr>
        <w:br/>
        <w:t xml:space="preserve">- длительность болей не менее 3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наличие утренней скованности,</w:t>
      </w:r>
      <w:r w:rsidRPr="00B97A7C">
        <w:rPr>
          <w:rFonts w:ascii="Times New Roman" w:eastAsia="Times New Roman" w:hAnsi="Times New Roman" w:cs="Times New Roman"/>
          <w:sz w:val="28"/>
          <w:szCs w:val="28"/>
          <w:lang w:eastAsia="ru-RU"/>
        </w:rPr>
        <w:br/>
        <w:t>- уменьшение болей после упражнений.</w:t>
      </w:r>
      <w:r w:rsidRPr="00B97A7C">
        <w:rPr>
          <w:rFonts w:ascii="Times New Roman" w:eastAsia="Times New Roman" w:hAnsi="Times New Roman" w:cs="Times New Roman"/>
          <w:sz w:val="28"/>
          <w:szCs w:val="28"/>
          <w:lang w:eastAsia="ru-RU"/>
        </w:rPr>
        <w:br/>
        <w:t>Наличие любых 4 из этих 5 признаков позволяет заподозрить воспалительный характер заболевания позвоночника.</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t>Расспрос и обследование в отношении признаков, характерных для спондилоартритов (в том числе в анамнезе):</w:t>
      </w:r>
      <w:r w:rsidRPr="00B97A7C">
        <w:rPr>
          <w:rFonts w:ascii="Times New Roman" w:eastAsia="Times New Roman" w:hAnsi="Times New Roman" w:cs="Times New Roman"/>
          <w:sz w:val="28"/>
          <w:szCs w:val="28"/>
          <w:lang w:eastAsia="ru-RU"/>
        </w:rPr>
        <w:br/>
        <w:t>- боли в пятках (</w:t>
      </w:r>
      <w:proofErr w:type="spellStart"/>
      <w:r w:rsidRPr="00B97A7C">
        <w:rPr>
          <w:rFonts w:ascii="Times New Roman" w:eastAsia="Times New Roman" w:hAnsi="Times New Roman" w:cs="Times New Roman"/>
          <w:sz w:val="28"/>
          <w:szCs w:val="28"/>
          <w:lang w:eastAsia="ru-RU"/>
        </w:rPr>
        <w:t>энтезит</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дактилит (воспаление сухожилий пальца стопы или кисти с диффузным отёком и гиперемией, «палец в виде сосиски»),</w:t>
      </w:r>
      <w:r w:rsidRPr="00B97A7C">
        <w:rPr>
          <w:rFonts w:ascii="Times New Roman" w:eastAsia="Times New Roman" w:hAnsi="Times New Roman" w:cs="Times New Roman"/>
          <w:sz w:val="28"/>
          <w:szCs w:val="28"/>
          <w:lang w:eastAsia="ru-RU"/>
        </w:rPr>
        <w:br/>
        <w:t xml:space="preserve">- </w:t>
      </w:r>
      <w:proofErr w:type="spellStart"/>
      <w:r w:rsidRPr="00B97A7C">
        <w:rPr>
          <w:rFonts w:ascii="Times New Roman" w:eastAsia="Times New Roman" w:hAnsi="Times New Roman" w:cs="Times New Roman"/>
          <w:sz w:val="28"/>
          <w:szCs w:val="28"/>
          <w:lang w:eastAsia="ru-RU"/>
        </w:rPr>
        <w:t>увеит</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случаи спондилоартритов в семье,</w:t>
      </w:r>
      <w:r w:rsidRPr="00B97A7C">
        <w:rPr>
          <w:rFonts w:ascii="Times New Roman" w:eastAsia="Times New Roman" w:hAnsi="Times New Roman" w:cs="Times New Roman"/>
          <w:sz w:val="28"/>
          <w:szCs w:val="28"/>
          <w:lang w:eastAsia="ru-RU"/>
        </w:rPr>
        <w:br/>
        <w:t>- перемежающиеся боли в ягодицах, псориаз,</w:t>
      </w:r>
      <w:r w:rsidRPr="00B97A7C">
        <w:rPr>
          <w:rFonts w:ascii="Times New Roman" w:eastAsia="Times New Roman" w:hAnsi="Times New Roman" w:cs="Times New Roman"/>
          <w:sz w:val="28"/>
          <w:szCs w:val="28"/>
          <w:lang w:eastAsia="ru-RU"/>
        </w:rPr>
        <w:br/>
        <w:t>- асимметричный артрит преимущественно нижних конечностей.</w:t>
      </w:r>
      <w:r w:rsidRPr="00B97A7C">
        <w:rPr>
          <w:rFonts w:ascii="Times New Roman" w:eastAsia="Times New Roman" w:hAnsi="Times New Roman" w:cs="Times New Roman"/>
          <w:sz w:val="28"/>
          <w:szCs w:val="28"/>
          <w:lang w:eastAsia="ru-RU"/>
        </w:rPr>
        <w:br/>
        <w:t>При обнаружении у пациента с воспалительными болями в спине по крайней мере 3 из этих признаков, вероятность АС составляет 80-95%. Если же находят только 1-2 признака, вероятность АС меньше (35-70%), в связи с чем целесообразно определение HLA-B27.</w:t>
      </w:r>
      <w:r w:rsidRPr="00B97A7C">
        <w:rPr>
          <w:rFonts w:ascii="Times New Roman" w:eastAsia="Times New Roman" w:hAnsi="Times New Roman" w:cs="Times New Roman"/>
          <w:sz w:val="28"/>
          <w:szCs w:val="28"/>
          <w:lang w:eastAsia="ru-RU"/>
        </w:rPr>
        <w:br/>
        <w:t>1. При обнаружении HLA-B27 диагноз АС можно считать обоснованным (вероятность около 90%), а при отсутствии HLA-B27 – маловероятным.</w:t>
      </w:r>
      <w:r w:rsidRPr="00B97A7C">
        <w:rPr>
          <w:rFonts w:ascii="Times New Roman" w:eastAsia="Times New Roman" w:hAnsi="Times New Roman" w:cs="Times New Roman"/>
          <w:sz w:val="28"/>
          <w:szCs w:val="28"/>
          <w:lang w:eastAsia="ru-RU"/>
        </w:rPr>
        <w:br/>
        <w:t>2. При отсутствии клинических признаков спондилоартритов у пациентов с воспалительными болями в спине также показано исследование HLA-B27; отрицательный результат позволяет отвергнуть предположение об АС.</w:t>
      </w:r>
      <w:r w:rsidRPr="00B97A7C">
        <w:rPr>
          <w:rFonts w:ascii="Times New Roman" w:eastAsia="Times New Roman" w:hAnsi="Times New Roman" w:cs="Times New Roman"/>
          <w:sz w:val="28"/>
          <w:szCs w:val="28"/>
          <w:lang w:eastAsia="ru-RU"/>
        </w:rPr>
        <w:br/>
        <w:t xml:space="preserve">3. Выявление HLA В27 (вероятность АС в этом случае составляет 59%) указывает на целесообразность проведения МРТ крестцово-подвздошных </w:t>
      </w:r>
      <w:r w:rsidRPr="00B97A7C">
        <w:rPr>
          <w:rFonts w:ascii="Times New Roman" w:eastAsia="Times New Roman" w:hAnsi="Times New Roman" w:cs="Times New Roman"/>
          <w:sz w:val="28"/>
          <w:szCs w:val="28"/>
          <w:lang w:eastAsia="ru-RU"/>
        </w:rPr>
        <w:lastRenderedPageBreak/>
        <w:t xml:space="preserve">сочленений. Обнаружение признаков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с помощью этого метода увеличивает вероятность АС до 80-95%, а их отсутствие резко снижает (до менее 15%) такую вероятность.</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Жалобы и анамнез:</w:t>
      </w:r>
      <w:r w:rsidRPr="00B97A7C">
        <w:rPr>
          <w:rFonts w:ascii="Times New Roman" w:eastAsia="Times New Roman" w:hAnsi="Times New Roman" w:cs="Times New Roman"/>
          <w:sz w:val="28"/>
          <w:szCs w:val="28"/>
          <w:lang w:eastAsia="ru-RU"/>
        </w:rPr>
        <w:br/>
        <w:t>1. Постепенно нарастающая по интенсивности боль и скованность с нечёткой локализацией в нижней части спины, ягодицах или грудной клетке, обычно односторонние и периодические, иногда острые, усиливаются при кашле, резких поворотах туловища, наклонах. Отличительная особенность болей и скованности – их воспалительный характер (т.е. усиление в покое, в ночное время и ранние утренние часы, а также уменьшение при физической нагрузке).</w:t>
      </w:r>
      <w:r w:rsidRPr="00B97A7C">
        <w:rPr>
          <w:rFonts w:ascii="Times New Roman" w:eastAsia="Times New Roman" w:hAnsi="Times New Roman" w:cs="Times New Roman"/>
          <w:sz w:val="28"/>
          <w:szCs w:val="28"/>
          <w:lang w:eastAsia="ru-RU"/>
        </w:rPr>
        <w:br/>
        <w:t>2. Ощущение скованности и болей в мышцах и в местах прикрепления связок.</w:t>
      </w:r>
      <w:r w:rsidRPr="00B97A7C">
        <w:rPr>
          <w:rFonts w:ascii="Times New Roman" w:eastAsia="Times New Roman" w:hAnsi="Times New Roman" w:cs="Times New Roman"/>
          <w:sz w:val="28"/>
          <w:szCs w:val="28"/>
          <w:lang w:eastAsia="ru-RU"/>
        </w:rPr>
        <w:br/>
        <w:t>3. «Корешковые» боли, но без неврологических нарушений, характерных для радикулита.</w:t>
      </w:r>
      <w:r w:rsidRPr="00B97A7C">
        <w:rPr>
          <w:rFonts w:ascii="Times New Roman" w:eastAsia="Times New Roman" w:hAnsi="Times New Roman" w:cs="Times New Roman"/>
          <w:sz w:val="28"/>
          <w:szCs w:val="28"/>
          <w:lang w:eastAsia="ru-RU"/>
        </w:rPr>
        <w:br/>
        <w:t xml:space="preserve">4. Очень редко (в первую очередь у детей) заболевание начинается с периферического </w:t>
      </w:r>
      <w:proofErr w:type="spellStart"/>
      <w:r w:rsidRPr="00B97A7C">
        <w:rPr>
          <w:rFonts w:ascii="Times New Roman" w:eastAsia="Times New Roman" w:hAnsi="Times New Roman" w:cs="Times New Roman"/>
          <w:sz w:val="28"/>
          <w:szCs w:val="28"/>
          <w:lang w:eastAsia="ru-RU"/>
        </w:rPr>
        <w:t>моноолигоартрита</w:t>
      </w:r>
      <w:proofErr w:type="spellEnd"/>
      <w:r w:rsidRPr="00B97A7C">
        <w:rPr>
          <w:rFonts w:ascii="Times New Roman" w:eastAsia="Times New Roman" w:hAnsi="Times New Roman" w:cs="Times New Roman"/>
          <w:sz w:val="28"/>
          <w:szCs w:val="28"/>
          <w:lang w:eastAsia="ru-RU"/>
        </w:rPr>
        <w:t xml:space="preserve"> коленных суставов или с </w:t>
      </w:r>
      <w:proofErr w:type="spellStart"/>
      <w:r w:rsidRPr="00B97A7C">
        <w:rPr>
          <w:rFonts w:ascii="Times New Roman" w:eastAsia="Times New Roman" w:hAnsi="Times New Roman" w:cs="Times New Roman"/>
          <w:sz w:val="28"/>
          <w:szCs w:val="28"/>
          <w:lang w:eastAsia="ru-RU"/>
        </w:rPr>
        <w:t>энтезитов</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ахиллодиния</w:t>
      </w:r>
      <w:proofErr w:type="spellEnd"/>
      <w:r w:rsidRPr="00B97A7C">
        <w:rPr>
          <w:rFonts w:ascii="Times New Roman" w:eastAsia="Times New Roman" w:hAnsi="Times New Roman" w:cs="Times New Roman"/>
          <w:sz w:val="28"/>
          <w:szCs w:val="28"/>
          <w:lang w:eastAsia="ru-RU"/>
        </w:rPr>
        <w:t xml:space="preserve">, подошвенный </w:t>
      </w:r>
      <w:proofErr w:type="spellStart"/>
      <w:r w:rsidRPr="00B97A7C">
        <w:rPr>
          <w:rFonts w:ascii="Times New Roman" w:eastAsia="Times New Roman" w:hAnsi="Times New Roman" w:cs="Times New Roman"/>
          <w:sz w:val="28"/>
          <w:szCs w:val="28"/>
          <w:lang w:eastAsia="ru-RU"/>
        </w:rPr>
        <w:t>фасциит</w:t>
      </w:r>
      <w:proofErr w:type="spellEnd"/>
      <w:r w:rsidRPr="00B97A7C">
        <w:rPr>
          <w:rFonts w:ascii="Times New Roman" w:eastAsia="Times New Roman" w:hAnsi="Times New Roman" w:cs="Times New Roman"/>
          <w:sz w:val="28"/>
          <w:szCs w:val="28"/>
          <w:lang w:eastAsia="ru-RU"/>
        </w:rPr>
        <w:t>) с характерными болями в пятках при ходьбе.</w:t>
      </w:r>
      <w:r w:rsidRPr="00B97A7C">
        <w:rPr>
          <w:rFonts w:ascii="Times New Roman" w:eastAsia="Times New Roman" w:hAnsi="Times New Roman" w:cs="Times New Roman"/>
          <w:sz w:val="28"/>
          <w:szCs w:val="28"/>
          <w:lang w:eastAsia="ru-RU"/>
        </w:rPr>
        <w:br/>
        <w:t>5. Иногда (особенно при ювенильном спондилоартрите) превалирует двустороннее поражение плечевых и тазобедренных, реже грудино-ключичных суставов.</w:t>
      </w:r>
      <w:r w:rsidRPr="00B97A7C">
        <w:rPr>
          <w:rFonts w:ascii="Times New Roman" w:eastAsia="Times New Roman" w:hAnsi="Times New Roman" w:cs="Times New Roman"/>
          <w:sz w:val="28"/>
          <w:szCs w:val="28"/>
          <w:lang w:eastAsia="ru-RU"/>
        </w:rPr>
        <w:br/>
        <w:t xml:space="preserve">6. Иногда заболевание начинается с острого переднего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 а типичное поражение суставов присоединяется через несколько месяцев или лет.</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proofErr w:type="spellStart"/>
      <w:r w:rsidRPr="00D85C55">
        <w:rPr>
          <w:rFonts w:ascii="Times New Roman" w:eastAsia="Times New Roman" w:hAnsi="Times New Roman" w:cs="Times New Roman"/>
          <w:b/>
          <w:bCs/>
          <w:sz w:val="28"/>
          <w:szCs w:val="28"/>
          <w:lang w:eastAsia="ru-RU"/>
        </w:rPr>
        <w:t>Физикальное</w:t>
      </w:r>
      <w:proofErr w:type="spellEnd"/>
      <w:r w:rsidRPr="00D85C55">
        <w:rPr>
          <w:rFonts w:ascii="Times New Roman" w:eastAsia="Times New Roman" w:hAnsi="Times New Roman" w:cs="Times New Roman"/>
          <w:b/>
          <w:bCs/>
          <w:sz w:val="28"/>
          <w:szCs w:val="28"/>
          <w:lang w:eastAsia="ru-RU"/>
        </w:rPr>
        <w:t xml:space="preserve"> обследование</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Поражение позвоночника:</w:t>
      </w:r>
      <w:r w:rsidRPr="00B97A7C">
        <w:rPr>
          <w:rFonts w:ascii="Times New Roman" w:eastAsia="Times New Roman" w:hAnsi="Times New Roman" w:cs="Times New Roman"/>
          <w:sz w:val="28"/>
          <w:szCs w:val="28"/>
          <w:lang w:eastAsia="ru-RU"/>
        </w:rPr>
        <w:br/>
        <w:t xml:space="preserve">1. Наиболее постоянными клиническими признаками являются боли в нижней части спины (поясничная область, область крестца, таза) воспалительного характера, скованность (уменьшается при движении) и нарушения функции </w:t>
      </w:r>
      <w:r w:rsidRPr="00B97A7C">
        <w:rPr>
          <w:rFonts w:ascii="Times New Roman" w:eastAsia="Times New Roman" w:hAnsi="Times New Roman" w:cs="Times New Roman"/>
          <w:sz w:val="28"/>
          <w:szCs w:val="28"/>
          <w:lang w:eastAsia="ru-RU"/>
        </w:rPr>
        <w:lastRenderedPageBreak/>
        <w:t>позвоночника (во всех направлениях); иногда могут преобладать боли в области крестца и ягодиц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иррадиирующие</w:t>
      </w:r>
      <w:proofErr w:type="spellEnd"/>
      <w:r w:rsidRPr="00B97A7C">
        <w:rPr>
          <w:rFonts w:ascii="Times New Roman" w:eastAsia="Times New Roman" w:hAnsi="Times New Roman" w:cs="Times New Roman"/>
          <w:sz w:val="28"/>
          <w:szCs w:val="28"/>
          <w:lang w:eastAsia="ru-RU"/>
        </w:rPr>
        <w:t xml:space="preserve"> в поясницу и проксимальные отделы бёдер.</w:t>
      </w:r>
      <w:r w:rsidRPr="00B97A7C">
        <w:rPr>
          <w:rFonts w:ascii="Times New Roman" w:eastAsia="Times New Roman" w:hAnsi="Times New Roman" w:cs="Times New Roman"/>
          <w:sz w:val="28"/>
          <w:szCs w:val="28"/>
          <w:lang w:eastAsia="ru-RU"/>
        </w:rPr>
        <w:br/>
        <w:t>2. Типичен восходящий характер поражения позвоночника. Скорость распространения болей и ограничений движений на грудной и шейный отделы различна. В большинстве случаев это происходит медленно, в течение нескольких лет.</w:t>
      </w:r>
      <w:r w:rsidRPr="00B97A7C">
        <w:rPr>
          <w:rFonts w:ascii="Times New Roman" w:eastAsia="Times New Roman" w:hAnsi="Times New Roman" w:cs="Times New Roman"/>
          <w:sz w:val="28"/>
          <w:szCs w:val="28"/>
          <w:lang w:eastAsia="ru-RU"/>
        </w:rPr>
        <w:br/>
        <w:t xml:space="preserve">3. Со временем формируются стойкие ограничения движений во всех отделах позвоночника и, что особенно неблагоприятно, </w:t>
      </w:r>
      <w:proofErr w:type="spellStart"/>
      <w:r w:rsidRPr="00B97A7C">
        <w:rPr>
          <w:rFonts w:ascii="Times New Roman" w:eastAsia="Times New Roman" w:hAnsi="Times New Roman" w:cs="Times New Roman"/>
          <w:sz w:val="28"/>
          <w:szCs w:val="28"/>
          <w:lang w:eastAsia="ru-RU"/>
        </w:rPr>
        <w:t>кифотические</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сгибательные</w:t>
      </w:r>
      <w:proofErr w:type="spellEnd"/>
      <w:r w:rsidRPr="00B97A7C">
        <w:rPr>
          <w:rFonts w:ascii="Times New Roman" w:eastAsia="Times New Roman" w:hAnsi="Times New Roman" w:cs="Times New Roman"/>
          <w:sz w:val="28"/>
          <w:szCs w:val="28"/>
          <w:lang w:eastAsia="ru-RU"/>
        </w:rPr>
        <w:t>) деформации грудного («поза просителя») и шейного отдела.</w:t>
      </w:r>
      <w:r w:rsidRPr="00B97A7C">
        <w:rPr>
          <w:rFonts w:ascii="Times New Roman" w:eastAsia="Times New Roman" w:hAnsi="Times New Roman" w:cs="Times New Roman"/>
          <w:sz w:val="28"/>
          <w:szCs w:val="28"/>
          <w:lang w:eastAsia="ru-RU"/>
        </w:rPr>
        <w:br/>
        <w:t>4. Неврологические симптомы нехарак</w:t>
      </w:r>
      <w:r w:rsidRPr="00B97A7C">
        <w:rPr>
          <w:rFonts w:ascii="Times New Roman" w:eastAsia="Times New Roman" w:hAnsi="Times New Roman" w:cs="Times New Roman"/>
          <w:sz w:val="28"/>
          <w:szCs w:val="28"/>
          <w:lang w:eastAsia="ru-RU"/>
        </w:rPr>
        <w:softHyphen/>
        <w:t xml:space="preserve">терны; иногда, как правило, на поздних стадиях заболевания могут развиваться признаки шейной </w:t>
      </w:r>
      <w:proofErr w:type="spellStart"/>
      <w:r w:rsidRPr="00B97A7C">
        <w:rPr>
          <w:rFonts w:ascii="Times New Roman" w:eastAsia="Times New Roman" w:hAnsi="Times New Roman" w:cs="Times New Roman"/>
          <w:sz w:val="28"/>
          <w:szCs w:val="28"/>
          <w:lang w:eastAsia="ru-RU"/>
        </w:rPr>
        <w:t>миелопатии</w:t>
      </w:r>
      <w:proofErr w:type="spellEnd"/>
      <w:r w:rsidRPr="00B97A7C">
        <w:rPr>
          <w:rFonts w:ascii="Times New Roman" w:eastAsia="Times New Roman" w:hAnsi="Times New Roman" w:cs="Times New Roman"/>
          <w:sz w:val="28"/>
          <w:szCs w:val="28"/>
          <w:lang w:eastAsia="ru-RU"/>
        </w:rPr>
        <w:t xml:space="preserve"> вследствие </w:t>
      </w:r>
      <w:proofErr w:type="gramStart"/>
      <w:r w:rsidRPr="00B97A7C">
        <w:rPr>
          <w:rFonts w:ascii="Times New Roman" w:eastAsia="Times New Roman" w:hAnsi="Times New Roman" w:cs="Times New Roman"/>
          <w:sz w:val="28"/>
          <w:szCs w:val="28"/>
          <w:lang w:eastAsia="ru-RU"/>
        </w:rPr>
        <w:t>атланто-аксиального</w:t>
      </w:r>
      <w:proofErr w:type="gramEnd"/>
      <w:r w:rsidRPr="00B97A7C">
        <w:rPr>
          <w:rFonts w:ascii="Times New Roman" w:eastAsia="Times New Roman" w:hAnsi="Times New Roman" w:cs="Times New Roman"/>
          <w:sz w:val="28"/>
          <w:szCs w:val="28"/>
          <w:lang w:eastAsia="ru-RU"/>
        </w:rPr>
        <w:t xml:space="preserve"> подвывиха или проявления, характерные для синдрома конского хвоста.</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Поражение периферических суставов:</w:t>
      </w:r>
      <w:r w:rsidRPr="00B97A7C">
        <w:rPr>
          <w:rFonts w:ascii="Times New Roman" w:eastAsia="Times New Roman" w:hAnsi="Times New Roman" w:cs="Times New Roman"/>
          <w:sz w:val="28"/>
          <w:szCs w:val="28"/>
          <w:lang w:eastAsia="ru-RU"/>
        </w:rPr>
        <w:br/>
        <w:t>Наиболее постоянно, но клинически малозаметно поражаются суставы осевого скелета; крестцово-подвздошное сочленение (практически у всех больных), суставы грудины, лонное сочленение, а также грудино-рёберные, грудино-ключичные и рёберно-позвоночные суставы.</w:t>
      </w:r>
      <w:r w:rsidRPr="00B97A7C">
        <w:rPr>
          <w:rFonts w:ascii="Times New Roman" w:eastAsia="Times New Roman" w:hAnsi="Times New Roman" w:cs="Times New Roman"/>
          <w:sz w:val="28"/>
          <w:szCs w:val="28"/>
          <w:lang w:eastAsia="ru-RU"/>
        </w:rPr>
        <w:br/>
        <w:t>Реже, преимущественно у детей и подростков, отмечается артрит суставов конечностей.</w:t>
      </w:r>
      <w:r w:rsidRPr="00B97A7C">
        <w:rPr>
          <w:rFonts w:ascii="Times New Roman" w:eastAsia="Times New Roman" w:hAnsi="Times New Roman" w:cs="Times New Roman"/>
          <w:sz w:val="28"/>
          <w:szCs w:val="28"/>
          <w:lang w:eastAsia="ru-RU"/>
        </w:rPr>
        <w:br/>
        <w:t>Особенности поражения суставов при АС такие же, как при всех спондилоартритах:</w:t>
      </w:r>
      <w:r w:rsidRPr="00B97A7C">
        <w:rPr>
          <w:rFonts w:ascii="Times New Roman" w:eastAsia="Times New Roman" w:hAnsi="Times New Roman" w:cs="Times New Roman"/>
          <w:sz w:val="28"/>
          <w:szCs w:val="28"/>
          <w:lang w:eastAsia="ru-RU"/>
        </w:rPr>
        <w:br/>
        <w:t>- преимущественное вовлечение крупных и средних суставов нижних конечностей (тазобедренные, коленные и голеностопные);</w:t>
      </w:r>
      <w:r w:rsidRPr="00B97A7C">
        <w:rPr>
          <w:rFonts w:ascii="Times New Roman" w:eastAsia="Times New Roman" w:hAnsi="Times New Roman" w:cs="Times New Roman"/>
          <w:sz w:val="28"/>
          <w:szCs w:val="28"/>
          <w:lang w:eastAsia="ru-RU"/>
        </w:rPr>
        <w:br/>
        <w:t xml:space="preserve">- моно- и </w:t>
      </w:r>
      <w:proofErr w:type="spellStart"/>
      <w:r w:rsidRPr="00B97A7C">
        <w:rPr>
          <w:rFonts w:ascii="Times New Roman" w:eastAsia="Times New Roman" w:hAnsi="Times New Roman" w:cs="Times New Roman"/>
          <w:sz w:val="28"/>
          <w:szCs w:val="28"/>
          <w:lang w:eastAsia="ru-RU"/>
        </w:rPr>
        <w:t>олигоартрит</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возможен артрит отдельных суставов пальцев стоп;</w:t>
      </w:r>
      <w:r w:rsidRPr="00B97A7C">
        <w:rPr>
          <w:rFonts w:ascii="Times New Roman" w:eastAsia="Times New Roman" w:hAnsi="Times New Roman" w:cs="Times New Roman"/>
          <w:sz w:val="28"/>
          <w:szCs w:val="28"/>
          <w:lang w:eastAsia="ru-RU"/>
        </w:rPr>
        <w:br/>
        <w:t>- среди других суставов относительно часто поражаются височно-нижнечелюстные суставы.</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t>Артрит чаще кратковременен, но может быть стойким, плохо поддаваться терапии и составлять главную проблему заболевания.</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 xml:space="preserve">Поражение </w:t>
      </w:r>
      <w:proofErr w:type="spellStart"/>
      <w:r w:rsidRPr="00D85C55">
        <w:rPr>
          <w:rFonts w:ascii="Times New Roman" w:eastAsia="Times New Roman" w:hAnsi="Times New Roman" w:cs="Times New Roman"/>
          <w:b/>
          <w:bCs/>
          <w:sz w:val="28"/>
          <w:szCs w:val="28"/>
          <w:lang w:eastAsia="ru-RU"/>
        </w:rPr>
        <w:t>энтезисов</w:t>
      </w:r>
      <w:proofErr w:type="spellEnd"/>
      <w:r w:rsidRPr="00D85C55">
        <w:rPr>
          <w:rFonts w:ascii="Times New Roman" w:eastAsia="Times New Roman" w:hAnsi="Times New Roman" w:cs="Times New Roman"/>
          <w:b/>
          <w:bCs/>
          <w:i/>
          <w:iCs/>
          <w:sz w:val="28"/>
          <w:szCs w:val="28"/>
          <w:lang w:eastAsia="ru-RU"/>
        </w:rPr>
        <w:t>:</w:t>
      </w:r>
      <w:r w:rsidRPr="00B97A7C">
        <w:rPr>
          <w:rFonts w:ascii="Times New Roman" w:eastAsia="Times New Roman" w:hAnsi="Times New Roman" w:cs="Times New Roman"/>
          <w:sz w:val="28"/>
          <w:szCs w:val="28"/>
          <w:lang w:eastAsia="ru-RU"/>
        </w:rPr>
        <w:br/>
        <w:t xml:space="preserve">1. Характерно воспаление </w:t>
      </w:r>
      <w:proofErr w:type="spellStart"/>
      <w:r w:rsidRPr="00B97A7C">
        <w:rPr>
          <w:rFonts w:ascii="Times New Roman" w:eastAsia="Times New Roman" w:hAnsi="Times New Roman" w:cs="Times New Roman"/>
          <w:sz w:val="28"/>
          <w:szCs w:val="28"/>
          <w:lang w:eastAsia="ru-RU"/>
        </w:rPr>
        <w:t>энтезисов</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энтезит</w:t>
      </w:r>
      <w:proofErr w:type="spellEnd"/>
      <w:r w:rsidRPr="00B97A7C">
        <w:rPr>
          <w:rFonts w:ascii="Times New Roman" w:eastAsia="Times New Roman" w:hAnsi="Times New Roman" w:cs="Times New Roman"/>
          <w:sz w:val="28"/>
          <w:szCs w:val="28"/>
          <w:lang w:eastAsia="ru-RU"/>
        </w:rPr>
        <w:t>) различной локализации, что проявляется болями в покое и при движениях, а иногда (в случае наиболее типичного поражения ахиллова сухожилия) и припухлостью.</w:t>
      </w:r>
      <w:r w:rsidRPr="00B97A7C">
        <w:rPr>
          <w:rFonts w:ascii="Times New Roman" w:eastAsia="Times New Roman" w:hAnsi="Times New Roman" w:cs="Times New Roman"/>
          <w:sz w:val="28"/>
          <w:szCs w:val="28"/>
          <w:lang w:eastAsia="ru-RU"/>
        </w:rPr>
        <w:br/>
        <w:t xml:space="preserve">2. Чаще других поражаются </w:t>
      </w:r>
      <w:proofErr w:type="spellStart"/>
      <w:r w:rsidRPr="00B97A7C">
        <w:rPr>
          <w:rFonts w:ascii="Times New Roman" w:eastAsia="Times New Roman" w:hAnsi="Times New Roman" w:cs="Times New Roman"/>
          <w:sz w:val="28"/>
          <w:szCs w:val="28"/>
          <w:lang w:eastAsia="ru-RU"/>
        </w:rPr>
        <w:t>энтезисы</w:t>
      </w:r>
      <w:proofErr w:type="spellEnd"/>
      <w:r w:rsidRPr="00B97A7C">
        <w:rPr>
          <w:rFonts w:ascii="Times New Roman" w:eastAsia="Times New Roman" w:hAnsi="Times New Roman" w:cs="Times New Roman"/>
          <w:sz w:val="28"/>
          <w:szCs w:val="28"/>
          <w:lang w:eastAsia="ru-RU"/>
        </w:rPr>
        <w:t xml:space="preserve"> в области позвоночника, пяток (места прикреплений пяточного сухожилия и подошвенного апоневроза) и больших вертелов бедренных костей.</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Системные проявления: </w:t>
      </w:r>
      <w:r w:rsidRPr="00B97A7C">
        <w:rPr>
          <w:rFonts w:ascii="Times New Roman" w:eastAsia="Times New Roman" w:hAnsi="Times New Roman" w:cs="Times New Roman"/>
          <w:sz w:val="28"/>
          <w:szCs w:val="28"/>
          <w:lang w:eastAsia="ru-RU"/>
        </w:rPr>
        <w:br/>
        <w:t xml:space="preserve">1. Конституциональные проявления (субфебрилитет, </w:t>
      </w:r>
      <w:proofErr w:type="spellStart"/>
      <w:r w:rsidRPr="00B97A7C">
        <w:rPr>
          <w:rFonts w:ascii="Times New Roman" w:eastAsia="Times New Roman" w:hAnsi="Times New Roman" w:cs="Times New Roman"/>
          <w:sz w:val="28"/>
          <w:szCs w:val="28"/>
          <w:lang w:eastAsia="ru-RU"/>
        </w:rPr>
        <w:t>лимфоаденопатия</w:t>
      </w:r>
      <w:proofErr w:type="spellEnd"/>
      <w:r w:rsidRPr="00B97A7C">
        <w:rPr>
          <w:rFonts w:ascii="Times New Roman" w:eastAsia="Times New Roman" w:hAnsi="Times New Roman" w:cs="Times New Roman"/>
          <w:sz w:val="28"/>
          <w:szCs w:val="28"/>
          <w:lang w:eastAsia="ru-RU"/>
        </w:rPr>
        <w:t>, снижение массы тела, общая слабость) развиваются редко, обычно у детей.</w:t>
      </w:r>
      <w:r w:rsidRPr="00B97A7C">
        <w:rPr>
          <w:rFonts w:ascii="Times New Roman" w:eastAsia="Times New Roman" w:hAnsi="Times New Roman" w:cs="Times New Roman"/>
          <w:sz w:val="28"/>
          <w:szCs w:val="28"/>
          <w:lang w:eastAsia="ru-RU"/>
        </w:rPr>
        <w:br/>
        <w:t xml:space="preserve">2. Наиболее частым системным проявлением является острый передний </w:t>
      </w:r>
      <w:proofErr w:type="spellStart"/>
      <w:r w:rsidRPr="00B97A7C">
        <w:rPr>
          <w:rFonts w:ascii="Times New Roman" w:eastAsia="Times New Roman" w:hAnsi="Times New Roman" w:cs="Times New Roman"/>
          <w:sz w:val="28"/>
          <w:szCs w:val="28"/>
          <w:lang w:eastAsia="ru-RU"/>
        </w:rPr>
        <w:t>увеит</w:t>
      </w:r>
      <w:proofErr w:type="spellEnd"/>
      <w:r w:rsidRPr="00B97A7C">
        <w:rPr>
          <w:rFonts w:ascii="Times New Roman" w:eastAsia="Times New Roman" w:hAnsi="Times New Roman" w:cs="Times New Roman"/>
          <w:sz w:val="28"/>
          <w:szCs w:val="28"/>
          <w:lang w:eastAsia="ru-RU"/>
        </w:rPr>
        <w:t xml:space="preserve"> (иридоциклит), как правило, односторонний, рецидивирующий, проявляется болями, фотофобией, нарушениями зрения, иногда предшествует поражению суставов,</w:t>
      </w:r>
      <w:r w:rsidRPr="00B97A7C">
        <w:rPr>
          <w:rFonts w:ascii="Times New Roman" w:eastAsia="Times New Roman" w:hAnsi="Times New Roman" w:cs="Times New Roman"/>
          <w:sz w:val="28"/>
          <w:szCs w:val="28"/>
          <w:lang w:eastAsia="ru-RU"/>
        </w:rPr>
        <w:br/>
        <w:t xml:space="preserve">3. Аортит (поражение восходящей аорты, преимущественно её корня), поражение створок аортального клапана (с развитием его недостаточности), мембранозной части межжелудочковой перегородки (с нарушениями атриовентрикулярной и </w:t>
      </w:r>
      <w:proofErr w:type="spellStart"/>
      <w:r w:rsidRPr="00B97A7C">
        <w:rPr>
          <w:rFonts w:ascii="Times New Roman" w:eastAsia="Times New Roman" w:hAnsi="Times New Roman" w:cs="Times New Roman"/>
          <w:sz w:val="28"/>
          <w:szCs w:val="28"/>
          <w:lang w:eastAsia="ru-RU"/>
        </w:rPr>
        <w:t>внутрижелудочковой</w:t>
      </w:r>
      <w:proofErr w:type="spellEnd"/>
      <w:r w:rsidRPr="00B97A7C">
        <w:rPr>
          <w:rFonts w:ascii="Times New Roman" w:eastAsia="Times New Roman" w:hAnsi="Times New Roman" w:cs="Times New Roman"/>
          <w:sz w:val="28"/>
          <w:szCs w:val="28"/>
          <w:lang w:eastAsia="ru-RU"/>
        </w:rPr>
        <w:t xml:space="preserve"> проводимости) и основания передней митральной створки (с развитием небольшой недостаточности митрального клапана). Значительно чаще выявляются клинически бессим</w:t>
      </w:r>
      <w:r w:rsidRPr="00B97A7C">
        <w:rPr>
          <w:rFonts w:ascii="Times New Roman" w:eastAsia="Times New Roman" w:hAnsi="Times New Roman" w:cs="Times New Roman"/>
          <w:sz w:val="28"/>
          <w:szCs w:val="28"/>
          <w:lang w:eastAsia="ru-RU"/>
        </w:rPr>
        <w:softHyphen/>
        <w:t xml:space="preserve">птомные </w:t>
      </w:r>
      <w:proofErr w:type="spellStart"/>
      <w:r w:rsidRPr="00B97A7C">
        <w:rPr>
          <w:rFonts w:ascii="Times New Roman" w:eastAsia="Times New Roman" w:hAnsi="Times New Roman" w:cs="Times New Roman"/>
          <w:sz w:val="28"/>
          <w:szCs w:val="28"/>
          <w:lang w:eastAsia="ru-RU"/>
        </w:rPr>
        <w:t>эхокардиографические</w:t>
      </w:r>
      <w:proofErr w:type="spellEnd"/>
      <w:r w:rsidRPr="00B97A7C">
        <w:rPr>
          <w:rFonts w:ascii="Times New Roman" w:eastAsia="Times New Roman" w:hAnsi="Times New Roman" w:cs="Times New Roman"/>
          <w:sz w:val="28"/>
          <w:szCs w:val="28"/>
          <w:lang w:eastAsia="ru-RU"/>
        </w:rPr>
        <w:t xml:space="preserve"> изменения: утолщение в виде гребня в основании передней митральной створки, расширение и утолщение корня аорты и утолщение створок аортального клапана</w:t>
      </w:r>
      <w:r w:rsidRPr="00B97A7C">
        <w:rPr>
          <w:rFonts w:ascii="Times New Roman" w:eastAsia="Times New Roman" w:hAnsi="Times New Roman" w:cs="Times New Roman"/>
          <w:sz w:val="28"/>
          <w:szCs w:val="28"/>
          <w:lang w:eastAsia="ru-RU"/>
        </w:rPr>
        <w:br/>
        <w:t>4. Фиброз верхушек лёгких и поражение почек (</w:t>
      </w:r>
      <w:proofErr w:type="spellStart"/>
      <w:r w:rsidRPr="00B97A7C">
        <w:rPr>
          <w:rFonts w:ascii="Times New Roman" w:eastAsia="Times New Roman" w:hAnsi="Times New Roman" w:cs="Times New Roman"/>
          <w:sz w:val="28"/>
          <w:szCs w:val="28"/>
          <w:lang w:eastAsia="ru-RU"/>
        </w:rPr>
        <w:t>IgA</w:t>
      </w:r>
      <w:proofErr w:type="spellEnd"/>
      <w:r w:rsidRPr="00B97A7C">
        <w:rPr>
          <w:rFonts w:ascii="Times New Roman" w:eastAsia="Times New Roman" w:hAnsi="Times New Roman" w:cs="Times New Roman"/>
          <w:sz w:val="28"/>
          <w:szCs w:val="28"/>
          <w:lang w:eastAsia="ru-RU"/>
        </w:rPr>
        <w:t>-нефропатия).</w:t>
      </w:r>
      <w:r w:rsidRPr="00B97A7C">
        <w:rPr>
          <w:rFonts w:ascii="Times New Roman" w:eastAsia="Times New Roman" w:hAnsi="Times New Roman" w:cs="Times New Roman"/>
          <w:sz w:val="28"/>
          <w:szCs w:val="28"/>
          <w:lang w:eastAsia="ru-RU"/>
        </w:rPr>
        <w:br/>
        <w:t>5. Амилоидоз с преимущественным поражением почек и кишечника (как правило, через много лет после начала болезни).</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br/>
      </w:r>
      <w:r w:rsidRPr="00D85C55">
        <w:rPr>
          <w:rFonts w:ascii="Times New Roman" w:eastAsia="Times New Roman" w:hAnsi="Times New Roman" w:cs="Times New Roman"/>
          <w:b/>
          <w:bCs/>
          <w:sz w:val="28"/>
          <w:szCs w:val="28"/>
          <w:lang w:eastAsia="ru-RU"/>
        </w:rPr>
        <w:t>Лабораторные исследования:</w:t>
      </w:r>
      <w:r w:rsidRPr="00B97A7C">
        <w:rPr>
          <w:rFonts w:ascii="Times New Roman" w:eastAsia="Times New Roman" w:hAnsi="Times New Roman" w:cs="Times New Roman"/>
          <w:sz w:val="28"/>
          <w:szCs w:val="28"/>
          <w:lang w:eastAsia="ru-RU"/>
        </w:rPr>
        <w:br/>
        <w:t>1. Специфические лабораторные показатели отсутствуют.</w:t>
      </w:r>
      <w:r w:rsidRPr="00B97A7C">
        <w:rPr>
          <w:rFonts w:ascii="Times New Roman" w:eastAsia="Times New Roman" w:hAnsi="Times New Roman" w:cs="Times New Roman"/>
          <w:sz w:val="28"/>
          <w:szCs w:val="28"/>
          <w:lang w:eastAsia="ru-RU"/>
        </w:rPr>
        <w:br/>
        <w:t xml:space="preserve">2. Нередко отмечают увеличение СОЭ, СРБ и уровня </w:t>
      </w:r>
      <w:proofErr w:type="spellStart"/>
      <w:r w:rsidRPr="00B97A7C">
        <w:rPr>
          <w:rFonts w:ascii="Times New Roman" w:eastAsia="Times New Roman" w:hAnsi="Times New Roman" w:cs="Times New Roman"/>
          <w:sz w:val="28"/>
          <w:szCs w:val="28"/>
          <w:lang w:eastAsia="ru-RU"/>
        </w:rPr>
        <w:t>IgA</w:t>
      </w:r>
      <w:proofErr w:type="spellEnd"/>
      <w:r w:rsidRPr="00B97A7C">
        <w:rPr>
          <w:rFonts w:ascii="Times New Roman" w:eastAsia="Times New Roman" w:hAnsi="Times New Roman" w:cs="Times New Roman"/>
          <w:sz w:val="28"/>
          <w:szCs w:val="28"/>
          <w:lang w:eastAsia="ru-RU"/>
        </w:rPr>
        <w:t xml:space="preserve"> в крови, анемию и тромбоцитоз (не имеют существенного значения для оценки степени активности болезни, за исключением СРБ).</w:t>
      </w:r>
      <w:r w:rsidRPr="00B97A7C">
        <w:rPr>
          <w:rFonts w:ascii="Times New Roman" w:eastAsia="Times New Roman" w:hAnsi="Times New Roman" w:cs="Times New Roman"/>
          <w:sz w:val="28"/>
          <w:szCs w:val="28"/>
          <w:lang w:eastAsia="ru-RU"/>
        </w:rPr>
        <w:br/>
        <w:t>3. РФ и АНФ не обнаруживаются.</w:t>
      </w:r>
      <w:r w:rsidRPr="00B97A7C">
        <w:rPr>
          <w:rFonts w:ascii="Times New Roman" w:eastAsia="Times New Roman" w:hAnsi="Times New Roman" w:cs="Times New Roman"/>
          <w:sz w:val="28"/>
          <w:szCs w:val="28"/>
          <w:lang w:eastAsia="ru-RU"/>
        </w:rPr>
        <w:br/>
        <w:t>4. Увеличение титра АСЛ-0 (</w:t>
      </w:r>
      <w:proofErr w:type="spellStart"/>
      <w:r w:rsidRPr="00B97A7C">
        <w:rPr>
          <w:rFonts w:ascii="Times New Roman" w:eastAsia="Times New Roman" w:hAnsi="Times New Roman" w:cs="Times New Roman"/>
          <w:sz w:val="28"/>
          <w:szCs w:val="28"/>
          <w:lang w:eastAsia="ru-RU"/>
        </w:rPr>
        <w:t>антистрептолизин</w:t>
      </w:r>
      <w:proofErr w:type="spellEnd"/>
      <w:r w:rsidRPr="00B97A7C">
        <w:rPr>
          <w:rFonts w:ascii="Times New Roman" w:eastAsia="Times New Roman" w:hAnsi="Times New Roman" w:cs="Times New Roman"/>
          <w:sz w:val="28"/>
          <w:szCs w:val="28"/>
          <w:lang w:eastAsia="ru-RU"/>
        </w:rPr>
        <w:t>) наблюдается у трети больных ревматизмом, инфекционно-аллергическим полиартритом.</w:t>
      </w:r>
      <w:r w:rsidRPr="00B97A7C">
        <w:rPr>
          <w:rFonts w:ascii="Times New Roman" w:eastAsia="Times New Roman" w:hAnsi="Times New Roman" w:cs="Times New Roman"/>
          <w:sz w:val="28"/>
          <w:szCs w:val="28"/>
          <w:lang w:eastAsia="ru-RU"/>
        </w:rPr>
        <w:br/>
        <w:t xml:space="preserve">5. Определение антител </w:t>
      </w:r>
      <w:proofErr w:type="spellStart"/>
      <w:r w:rsidRPr="00B97A7C">
        <w:rPr>
          <w:rFonts w:ascii="Times New Roman" w:eastAsia="Times New Roman" w:hAnsi="Times New Roman" w:cs="Times New Roman"/>
          <w:sz w:val="28"/>
          <w:szCs w:val="28"/>
          <w:lang w:eastAsia="ru-RU"/>
        </w:rPr>
        <w:t>IgG</w:t>
      </w:r>
      <w:proofErr w:type="spellEnd"/>
      <w:r w:rsidRPr="00B97A7C">
        <w:rPr>
          <w:rFonts w:ascii="Times New Roman" w:eastAsia="Times New Roman" w:hAnsi="Times New Roman" w:cs="Times New Roman"/>
          <w:sz w:val="28"/>
          <w:szCs w:val="28"/>
          <w:lang w:eastAsia="ru-RU"/>
        </w:rPr>
        <w:t xml:space="preserve"> к </w:t>
      </w:r>
      <w:proofErr w:type="spellStart"/>
      <w:r w:rsidRPr="00B97A7C">
        <w:rPr>
          <w:rFonts w:ascii="Times New Roman" w:eastAsia="Times New Roman" w:hAnsi="Times New Roman" w:cs="Times New Roman"/>
          <w:sz w:val="28"/>
          <w:szCs w:val="28"/>
          <w:lang w:eastAsia="ru-RU"/>
        </w:rPr>
        <w:t>Saccharomyces</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cerevisiae</w:t>
      </w:r>
      <w:proofErr w:type="spellEnd"/>
      <w:r w:rsidRPr="00B97A7C">
        <w:rPr>
          <w:rFonts w:ascii="Times New Roman" w:eastAsia="Times New Roman" w:hAnsi="Times New Roman" w:cs="Times New Roman"/>
          <w:sz w:val="28"/>
          <w:szCs w:val="28"/>
          <w:lang w:eastAsia="ru-RU"/>
        </w:rPr>
        <w:t xml:space="preserve"> (ASCA)</w:t>
      </w:r>
      <w:r w:rsidRPr="00B97A7C">
        <w:rPr>
          <w:rFonts w:ascii="Times New Roman" w:eastAsia="Times New Roman" w:hAnsi="Times New Roman" w:cs="Times New Roman"/>
          <w:sz w:val="28"/>
          <w:szCs w:val="28"/>
          <w:lang w:eastAsia="ru-RU"/>
        </w:rPr>
        <w:br/>
        <w:t xml:space="preserve">6. HLA-B27 </w:t>
      </w:r>
      <w:proofErr w:type="spellStart"/>
      <w:r w:rsidRPr="00B97A7C">
        <w:rPr>
          <w:rFonts w:ascii="Times New Roman" w:eastAsia="Times New Roman" w:hAnsi="Times New Roman" w:cs="Times New Roman"/>
          <w:sz w:val="28"/>
          <w:szCs w:val="28"/>
          <w:lang w:eastAsia="ru-RU"/>
        </w:rPr>
        <w:t>экспрессируется</w:t>
      </w:r>
      <w:proofErr w:type="spellEnd"/>
      <w:r w:rsidRPr="00B97A7C">
        <w:rPr>
          <w:rFonts w:ascii="Times New Roman" w:eastAsia="Times New Roman" w:hAnsi="Times New Roman" w:cs="Times New Roman"/>
          <w:sz w:val="28"/>
          <w:szCs w:val="28"/>
          <w:lang w:eastAsia="ru-RU"/>
        </w:rPr>
        <w:t xml:space="preserve"> у 90-95% пациентов; вследствие относительно высокой частоты экспрессии этого гена у здоровых лиц (в России – около 10%) самостоятельного диагностического значения определение этого «маркера» не имеет; его определение может иметь определённое значение для ранней диагностики АС у молодых мужчин, у которых имеются определённые клинические предпосылки подозревать это заболевание (например, характерные боли в позвоночнике, семейный анамнез), но явные рентгенологические признаки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отсутствуют; поскольку носительство HLA-B27 коррелирует с более тяжёлым течением заболевания, его выявление может быть полезным для прогнозирования течения заболевания.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Инструментальные исследования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1. </w:t>
      </w:r>
      <w:r w:rsidRPr="00D85C55">
        <w:rPr>
          <w:rFonts w:ascii="Times New Roman" w:eastAsia="Times New Roman" w:hAnsi="Times New Roman" w:cs="Times New Roman"/>
          <w:b/>
          <w:bCs/>
          <w:sz w:val="28"/>
          <w:szCs w:val="28"/>
          <w:lang w:eastAsia="ru-RU"/>
        </w:rPr>
        <w:t>Рентгенография суставов</w:t>
      </w:r>
      <w:r w:rsidRPr="00B97A7C">
        <w:rPr>
          <w:rFonts w:ascii="Times New Roman" w:eastAsia="Times New Roman" w:hAnsi="Times New Roman" w:cs="Times New Roman"/>
          <w:sz w:val="28"/>
          <w:szCs w:val="28"/>
          <w:lang w:eastAsia="ru-RU"/>
        </w:rPr>
        <w:t xml:space="preserve">. Поскольку первые изменения всегда формируются в области крестцово-подвздошных сочленений, в случае подозрения на АС в обязательном порядке выполняется рентгенограмма таза в переднезадней проекции, захватывающая все кости таза и тазобедренные суставы. Ранний признак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 сочетание участков расширения суставной щели и распространённого </w:t>
      </w:r>
      <w:proofErr w:type="spellStart"/>
      <w:r w:rsidRPr="00B97A7C">
        <w:rPr>
          <w:rFonts w:ascii="Times New Roman" w:eastAsia="Times New Roman" w:hAnsi="Times New Roman" w:cs="Times New Roman"/>
          <w:sz w:val="28"/>
          <w:szCs w:val="28"/>
          <w:lang w:eastAsia="ru-RU"/>
        </w:rPr>
        <w:t>субхондрального</w:t>
      </w:r>
      <w:proofErr w:type="spellEnd"/>
      <w:r w:rsidRPr="00B97A7C">
        <w:rPr>
          <w:rFonts w:ascii="Times New Roman" w:eastAsia="Times New Roman" w:hAnsi="Times New Roman" w:cs="Times New Roman"/>
          <w:sz w:val="28"/>
          <w:szCs w:val="28"/>
          <w:lang w:eastAsia="ru-RU"/>
        </w:rPr>
        <w:t xml:space="preserve"> остеосклероза, как со стороны крестца, так и подвздошной кости; очаговое, а затем полное </w:t>
      </w:r>
      <w:proofErr w:type="spellStart"/>
      <w:r w:rsidRPr="00B97A7C">
        <w:rPr>
          <w:rFonts w:ascii="Times New Roman" w:eastAsia="Times New Roman" w:hAnsi="Times New Roman" w:cs="Times New Roman"/>
          <w:sz w:val="28"/>
          <w:szCs w:val="28"/>
          <w:lang w:eastAsia="ru-RU"/>
        </w:rPr>
        <w:t>анкилозирование</w:t>
      </w:r>
      <w:proofErr w:type="spellEnd"/>
      <w:r w:rsidRPr="00B97A7C">
        <w:rPr>
          <w:rFonts w:ascii="Times New Roman" w:eastAsia="Times New Roman" w:hAnsi="Times New Roman" w:cs="Times New Roman"/>
          <w:sz w:val="28"/>
          <w:szCs w:val="28"/>
          <w:lang w:eastAsia="ru-RU"/>
        </w:rPr>
        <w:t xml:space="preserve"> крестцово-</w:t>
      </w:r>
      <w:r w:rsidRPr="00B97A7C">
        <w:rPr>
          <w:rFonts w:ascii="Times New Roman" w:eastAsia="Times New Roman" w:hAnsi="Times New Roman" w:cs="Times New Roman"/>
          <w:sz w:val="28"/>
          <w:szCs w:val="28"/>
          <w:lang w:eastAsia="ru-RU"/>
        </w:rPr>
        <w:lastRenderedPageBreak/>
        <w:t xml:space="preserve">подвздошных сочленений, а также сужение щелей этих суставов являются поздними признаками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В первые годы </w:t>
      </w:r>
      <w:proofErr w:type="spellStart"/>
      <w:r w:rsidRPr="00B97A7C">
        <w:rPr>
          <w:rFonts w:ascii="Times New Roman" w:eastAsia="Times New Roman" w:hAnsi="Times New Roman" w:cs="Times New Roman"/>
          <w:sz w:val="28"/>
          <w:szCs w:val="28"/>
          <w:lang w:eastAsia="ru-RU"/>
        </w:rPr>
        <w:t>сакроилеит</w:t>
      </w:r>
      <w:proofErr w:type="spellEnd"/>
      <w:r w:rsidRPr="00B97A7C">
        <w:rPr>
          <w:rFonts w:ascii="Times New Roman" w:eastAsia="Times New Roman" w:hAnsi="Times New Roman" w:cs="Times New Roman"/>
          <w:sz w:val="28"/>
          <w:szCs w:val="28"/>
          <w:lang w:eastAsia="ru-RU"/>
        </w:rPr>
        <w:t xml:space="preserve"> может быть односторонним и несимметричным, но в дальнейшем обычно отмечаются двухсторонние и симметричные изменения.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Изменения в позвоночнике обычно выявляются спустя несколько месяцев или лет от начала болезни:</w:t>
      </w:r>
      <w:r w:rsidRPr="00B97A7C">
        <w:rPr>
          <w:rFonts w:ascii="Times New Roman" w:eastAsia="Times New Roman" w:hAnsi="Times New Roman" w:cs="Times New Roman"/>
          <w:sz w:val="28"/>
          <w:szCs w:val="28"/>
          <w:lang w:eastAsia="ru-RU"/>
        </w:rPr>
        <w:br/>
        <w:t>1) на относительно ранних стадиях у ряда больных могут быть обнаружены признаки переднего спондилита в поясничном отделе: деструкция в области передних углов тел позвонков, приводящая к сглаживанию или исчезновению вогнутого в норме бокового контура, неровность этого контура, участки остеосклероза;</w:t>
      </w:r>
      <w:r w:rsidRPr="00B97A7C">
        <w:rPr>
          <w:rFonts w:ascii="Times New Roman" w:eastAsia="Times New Roman" w:hAnsi="Times New Roman" w:cs="Times New Roman"/>
          <w:sz w:val="28"/>
          <w:szCs w:val="28"/>
          <w:lang w:eastAsia="ru-RU"/>
        </w:rPr>
        <w:br/>
        <w:t xml:space="preserve">2) к числу поздних изменений относят </w:t>
      </w:r>
      <w:proofErr w:type="spellStart"/>
      <w:r w:rsidRPr="00B97A7C">
        <w:rPr>
          <w:rFonts w:ascii="Times New Roman" w:eastAsia="Times New Roman" w:hAnsi="Times New Roman" w:cs="Times New Roman"/>
          <w:sz w:val="28"/>
          <w:szCs w:val="28"/>
          <w:lang w:eastAsia="ru-RU"/>
        </w:rPr>
        <w:t>синдесмофиты</w:t>
      </w:r>
      <w:proofErr w:type="spellEnd"/>
      <w:r w:rsidRPr="00B97A7C">
        <w:rPr>
          <w:rFonts w:ascii="Times New Roman" w:eastAsia="Times New Roman" w:hAnsi="Times New Roman" w:cs="Times New Roman"/>
          <w:sz w:val="28"/>
          <w:szCs w:val="28"/>
          <w:lang w:eastAsia="ru-RU"/>
        </w:rPr>
        <w:t xml:space="preserve">: линейные зоны </w:t>
      </w:r>
      <w:proofErr w:type="spellStart"/>
      <w:r w:rsidRPr="00B97A7C">
        <w:rPr>
          <w:rFonts w:ascii="Times New Roman" w:eastAsia="Times New Roman" w:hAnsi="Times New Roman" w:cs="Times New Roman"/>
          <w:sz w:val="28"/>
          <w:szCs w:val="28"/>
          <w:lang w:eastAsia="ru-RU"/>
        </w:rPr>
        <w:t>оссификации</w:t>
      </w:r>
      <w:proofErr w:type="spellEnd"/>
      <w:r w:rsidRPr="00B97A7C">
        <w:rPr>
          <w:rFonts w:ascii="Times New Roman" w:eastAsia="Times New Roman" w:hAnsi="Times New Roman" w:cs="Times New Roman"/>
          <w:sz w:val="28"/>
          <w:szCs w:val="28"/>
          <w:lang w:eastAsia="ru-RU"/>
        </w:rPr>
        <w:t xml:space="preserve"> наружных частей фиброзных дисков, обычно не выходящие за контур тел позвонков (первые </w:t>
      </w:r>
      <w:proofErr w:type="spellStart"/>
      <w:r w:rsidRPr="00B97A7C">
        <w:rPr>
          <w:rFonts w:ascii="Times New Roman" w:eastAsia="Times New Roman" w:hAnsi="Times New Roman" w:cs="Times New Roman"/>
          <w:sz w:val="28"/>
          <w:szCs w:val="28"/>
          <w:lang w:eastAsia="ru-RU"/>
        </w:rPr>
        <w:t>синдесмофиты</w:t>
      </w:r>
      <w:proofErr w:type="spellEnd"/>
      <w:r w:rsidRPr="00B97A7C">
        <w:rPr>
          <w:rFonts w:ascii="Times New Roman" w:eastAsia="Times New Roman" w:hAnsi="Times New Roman" w:cs="Times New Roman"/>
          <w:sz w:val="28"/>
          <w:szCs w:val="28"/>
          <w:lang w:eastAsia="ru-RU"/>
        </w:rPr>
        <w:t xml:space="preserve"> обычно появляются на границе поясничного и грудного отделов), окостенение межостистых и жёлтых связок, а также анкилоз </w:t>
      </w:r>
      <w:proofErr w:type="spellStart"/>
      <w:r w:rsidRPr="00B97A7C">
        <w:rPr>
          <w:rFonts w:ascii="Times New Roman" w:eastAsia="Times New Roman" w:hAnsi="Times New Roman" w:cs="Times New Roman"/>
          <w:sz w:val="28"/>
          <w:szCs w:val="28"/>
          <w:lang w:eastAsia="ru-RU"/>
        </w:rPr>
        <w:t>дугоотростчатых</w:t>
      </w:r>
      <w:proofErr w:type="spellEnd"/>
      <w:r w:rsidRPr="00B97A7C">
        <w:rPr>
          <w:rFonts w:ascii="Times New Roman" w:eastAsia="Times New Roman" w:hAnsi="Times New Roman" w:cs="Times New Roman"/>
          <w:sz w:val="28"/>
          <w:szCs w:val="28"/>
          <w:lang w:eastAsia="ru-RU"/>
        </w:rPr>
        <w:t xml:space="preserve"> суставов с </w:t>
      </w:r>
      <w:proofErr w:type="spellStart"/>
      <w:r w:rsidRPr="00B97A7C">
        <w:rPr>
          <w:rFonts w:ascii="Times New Roman" w:eastAsia="Times New Roman" w:hAnsi="Times New Roman" w:cs="Times New Roman"/>
          <w:sz w:val="28"/>
          <w:szCs w:val="28"/>
          <w:lang w:eastAsia="ru-RU"/>
        </w:rPr>
        <w:t>оссификацией</w:t>
      </w:r>
      <w:proofErr w:type="spellEnd"/>
      <w:r w:rsidRPr="00B97A7C">
        <w:rPr>
          <w:rFonts w:ascii="Times New Roman" w:eastAsia="Times New Roman" w:hAnsi="Times New Roman" w:cs="Times New Roman"/>
          <w:sz w:val="28"/>
          <w:szCs w:val="28"/>
          <w:lang w:eastAsia="ru-RU"/>
        </w:rPr>
        <w:t xml:space="preserve"> их капсул;</w:t>
      </w:r>
      <w:r w:rsidRPr="00B97A7C">
        <w:rPr>
          <w:rFonts w:ascii="Times New Roman" w:eastAsia="Times New Roman" w:hAnsi="Times New Roman" w:cs="Times New Roman"/>
          <w:sz w:val="28"/>
          <w:szCs w:val="28"/>
          <w:lang w:eastAsia="ru-RU"/>
        </w:rPr>
        <w:br/>
        <w:t xml:space="preserve">3) распространённая </w:t>
      </w:r>
      <w:proofErr w:type="spellStart"/>
      <w:r w:rsidRPr="00B97A7C">
        <w:rPr>
          <w:rFonts w:ascii="Times New Roman" w:eastAsia="Times New Roman" w:hAnsi="Times New Roman" w:cs="Times New Roman"/>
          <w:sz w:val="28"/>
          <w:szCs w:val="28"/>
          <w:lang w:eastAsia="ru-RU"/>
        </w:rPr>
        <w:t>оссификация</w:t>
      </w:r>
      <w:proofErr w:type="spellEnd"/>
      <w:r w:rsidRPr="00B97A7C">
        <w:rPr>
          <w:rFonts w:ascii="Times New Roman" w:eastAsia="Times New Roman" w:hAnsi="Times New Roman" w:cs="Times New Roman"/>
          <w:sz w:val="28"/>
          <w:szCs w:val="28"/>
          <w:lang w:eastAsia="ru-RU"/>
        </w:rPr>
        <w:t xml:space="preserve"> указанных структур создаёт картину «бамбуковой палки»;</w:t>
      </w:r>
      <w:r w:rsidRPr="00B97A7C">
        <w:rPr>
          <w:rFonts w:ascii="Times New Roman" w:eastAsia="Times New Roman" w:hAnsi="Times New Roman" w:cs="Times New Roman"/>
          <w:sz w:val="28"/>
          <w:szCs w:val="28"/>
          <w:lang w:eastAsia="ru-RU"/>
        </w:rPr>
        <w:br/>
        <w:t>4) могут также возникать очаговые или распространённые изменения в области контакта межпозвонкового хряща и тела позвонка (</w:t>
      </w:r>
      <w:proofErr w:type="spellStart"/>
      <w:r w:rsidRPr="00B97A7C">
        <w:rPr>
          <w:rFonts w:ascii="Times New Roman" w:eastAsia="Times New Roman" w:hAnsi="Times New Roman" w:cs="Times New Roman"/>
          <w:sz w:val="28"/>
          <w:szCs w:val="28"/>
          <w:lang w:eastAsia="ru-RU"/>
        </w:rPr>
        <w:t>спондилодисцит</w:t>
      </w:r>
      <w:proofErr w:type="spellEnd"/>
      <w:r w:rsidRPr="00B97A7C">
        <w:rPr>
          <w:rFonts w:ascii="Times New Roman" w:eastAsia="Times New Roman" w:hAnsi="Times New Roman" w:cs="Times New Roman"/>
          <w:sz w:val="28"/>
          <w:szCs w:val="28"/>
          <w:lang w:eastAsia="ru-RU"/>
        </w:rPr>
        <w:t>), изменения суставов между рёбрами и позвонками, остеопороз.</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2. </w:t>
      </w:r>
      <w:r w:rsidRPr="00D85C55">
        <w:rPr>
          <w:rFonts w:ascii="Times New Roman" w:eastAsia="Times New Roman" w:hAnsi="Times New Roman" w:cs="Times New Roman"/>
          <w:b/>
          <w:bCs/>
          <w:sz w:val="28"/>
          <w:szCs w:val="28"/>
          <w:lang w:eastAsia="ru-RU"/>
        </w:rPr>
        <w:t>Магнитно-резонансная томография</w:t>
      </w:r>
      <w:r w:rsidRPr="00B97A7C">
        <w:rPr>
          <w:rFonts w:ascii="Times New Roman" w:eastAsia="Times New Roman" w:hAnsi="Times New Roman" w:cs="Times New Roman"/>
          <w:sz w:val="28"/>
          <w:szCs w:val="28"/>
          <w:lang w:eastAsia="ru-RU"/>
        </w:rPr>
        <w:t xml:space="preserve"> с «контрастированием» гадолинием используется для диагностики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 xml:space="preserve"> и поражения позвоночника на ранних стадиях, а также в детском и подростковом возрасте.</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3. </w:t>
      </w:r>
      <w:r w:rsidRPr="00D85C55">
        <w:rPr>
          <w:rFonts w:ascii="Times New Roman" w:eastAsia="Times New Roman" w:hAnsi="Times New Roman" w:cs="Times New Roman"/>
          <w:b/>
          <w:bCs/>
          <w:sz w:val="28"/>
          <w:szCs w:val="28"/>
          <w:lang w:eastAsia="ru-RU"/>
        </w:rPr>
        <w:t>Рентгеновская компьютерная томография</w:t>
      </w:r>
      <w:r w:rsidRPr="00B97A7C">
        <w:rPr>
          <w:rFonts w:ascii="Times New Roman" w:eastAsia="Times New Roman" w:hAnsi="Times New Roman" w:cs="Times New Roman"/>
          <w:sz w:val="28"/>
          <w:szCs w:val="28"/>
          <w:lang w:eastAsia="ru-RU"/>
        </w:rPr>
        <w:t xml:space="preserve"> показана у пациентов с относительно большой давностью клинических проявлений при отсутствии достоверных признаков </w:t>
      </w:r>
      <w:proofErr w:type="spellStart"/>
      <w:r w:rsidRPr="00B97A7C">
        <w:rPr>
          <w:rFonts w:ascii="Times New Roman" w:eastAsia="Times New Roman" w:hAnsi="Times New Roman" w:cs="Times New Roman"/>
          <w:sz w:val="28"/>
          <w:szCs w:val="28"/>
          <w:lang w:eastAsia="ru-RU"/>
        </w:rPr>
        <w:t>сакроилеита</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br/>
        <w:t>4. </w:t>
      </w:r>
      <w:proofErr w:type="spellStart"/>
      <w:r w:rsidRPr="00D85C55">
        <w:rPr>
          <w:rFonts w:ascii="Times New Roman" w:eastAsia="Times New Roman" w:hAnsi="Times New Roman" w:cs="Times New Roman"/>
          <w:b/>
          <w:bCs/>
          <w:sz w:val="28"/>
          <w:szCs w:val="28"/>
          <w:lang w:eastAsia="ru-RU"/>
        </w:rPr>
        <w:t>Ультрасонография</w:t>
      </w:r>
      <w:proofErr w:type="spellEnd"/>
      <w:r w:rsidRPr="00B97A7C">
        <w:rPr>
          <w:rFonts w:ascii="Times New Roman" w:eastAsia="Times New Roman" w:hAnsi="Times New Roman" w:cs="Times New Roman"/>
          <w:sz w:val="28"/>
          <w:szCs w:val="28"/>
          <w:lang w:eastAsia="ru-RU"/>
        </w:rPr>
        <w:t xml:space="preserve"> – чувствительный метод выявления </w:t>
      </w:r>
      <w:proofErr w:type="spellStart"/>
      <w:r w:rsidRPr="00B97A7C">
        <w:rPr>
          <w:rFonts w:ascii="Times New Roman" w:eastAsia="Times New Roman" w:hAnsi="Times New Roman" w:cs="Times New Roman"/>
          <w:sz w:val="28"/>
          <w:szCs w:val="28"/>
          <w:lang w:eastAsia="ru-RU"/>
        </w:rPr>
        <w:t>энтезопатии</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5. </w:t>
      </w:r>
      <w:r w:rsidRPr="00D85C55">
        <w:rPr>
          <w:rFonts w:ascii="Times New Roman" w:eastAsia="Times New Roman" w:hAnsi="Times New Roman" w:cs="Times New Roman"/>
          <w:b/>
          <w:bCs/>
          <w:sz w:val="28"/>
          <w:szCs w:val="28"/>
          <w:lang w:eastAsia="ru-RU"/>
        </w:rPr>
        <w:t>Костная денситометрия</w:t>
      </w:r>
      <w:r w:rsidRPr="00B97A7C">
        <w:rPr>
          <w:rFonts w:ascii="Times New Roman" w:eastAsia="Times New Roman" w:hAnsi="Times New Roman" w:cs="Times New Roman"/>
          <w:sz w:val="28"/>
          <w:szCs w:val="28"/>
          <w:lang w:eastAsia="ru-RU"/>
        </w:rPr>
        <w:t> применяется для ранней диагностики остеопороза.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Показания к консультации специалистов:</w:t>
      </w:r>
      <w:r w:rsidRPr="00B97A7C">
        <w:rPr>
          <w:rFonts w:ascii="Times New Roman" w:eastAsia="Times New Roman" w:hAnsi="Times New Roman" w:cs="Times New Roman"/>
          <w:sz w:val="28"/>
          <w:szCs w:val="28"/>
          <w:lang w:eastAsia="ru-RU"/>
        </w:rPr>
        <w:br/>
        <w:t>1. Инструктор по лечебной физкультуре.</w:t>
      </w:r>
      <w:r w:rsidRPr="00B97A7C">
        <w:rPr>
          <w:rFonts w:ascii="Times New Roman" w:eastAsia="Times New Roman" w:hAnsi="Times New Roman" w:cs="Times New Roman"/>
          <w:sz w:val="28"/>
          <w:szCs w:val="28"/>
          <w:lang w:eastAsia="ru-RU"/>
        </w:rPr>
        <w:br/>
        <w:t xml:space="preserve">2. Окулист – развитие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3. Кардиолог – развитие недостаточности аортального клапана или нарушений атриовентрикулярной проводимости.</w:t>
      </w:r>
      <w:r w:rsidRPr="00B97A7C">
        <w:rPr>
          <w:rFonts w:ascii="Times New Roman" w:eastAsia="Times New Roman" w:hAnsi="Times New Roman" w:cs="Times New Roman"/>
          <w:sz w:val="28"/>
          <w:szCs w:val="28"/>
          <w:lang w:eastAsia="ru-RU"/>
        </w:rPr>
        <w:br/>
        <w:t>4. Ортопед – значительное нарушение функции тазобедренных суставов, выраженный кифоз.</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основных диагностических мероприятий</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Необходимый объем обследований перед плановой госпитализацией:</w:t>
      </w:r>
      <w:r w:rsidRPr="00B97A7C">
        <w:rPr>
          <w:rFonts w:ascii="Times New Roman" w:eastAsia="Times New Roman" w:hAnsi="Times New Roman" w:cs="Times New Roman"/>
          <w:sz w:val="28"/>
          <w:szCs w:val="28"/>
          <w:lang w:eastAsia="ru-RU"/>
        </w:rPr>
        <w:br/>
        <w:t>1. ОАК</w:t>
      </w:r>
      <w:r w:rsidRPr="00B97A7C">
        <w:rPr>
          <w:rFonts w:ascii="Times New Roman" w:eastAsia="Times New Roman" w:hAnsi="Times New Roman" w:cs="Times New Roman"/>
          <w:sz w:val="28"/>
          <w:szCs w:val="28"/>
          <w:lang w:eastAsia="ru-RU"/>
        </w:rPr>
        <w:br/>
        <w:t>2. Биохимический анализ крови (</w:t>
      </w:r>
      <w:proofErr w:type="spellStart"/>
      <w:r w:rsidRPr="00B97A7C">
        <w:rPr>
          <w:rFonts w:ascii="Times New Roman" w:eastAsia="Times New Roman" w:hAnsi="Times New Roman" w:cs="Times New Roman"/>
          <w:sz w:val="28"/>
          <w:szCs w:val="28"/>
          <w:lang w:eastAsia="ru-RU"/>
        </w:rPr>
        <w:t>креатинин</w:t>
      </w:r>
      <w:proofErr w:type="spellEnd"/>
      <w:r w:rsidRPr="00B97A7C">
        <w:rPr>
          <w:rFonts w:ascii="Times New Roman" w:eastAsia="Times New Roman" w:hAnsi="Times New Roman" w:cs="Times New Roman"/>
          <w:sz w:val="28"/>
          <w:szCs w:val="28"/>
          <w:lang w:eastAsia="ru-RU"/>
        </w:rPr>
        <w:t xml:space="preserve">, общий белок, К+, </w:t>
      </w:r>
      <w:proofErr w:type="spellStart"/>
      <w:r w:rsidRPr="00B97A7C">
        <w:rPr>
          <w:rFonts w:ascii="Times New Roman" w:eastAsia="Times New Roman" w:hAnsi="Times New Roman" w:cs="Times New Roman"/>
          <w:sz w:val="28"/>
          <w:szCs w:val="28"/>
          <w:lang w:eastAsia="ru-RU"/>
        </w:rPr>
        <w:t>Na</w:t>
      </w:r>
      <w:proofErr w:type="spellEnd"/>
      <w:r w:rsidRPr="00B97A7C">
        <w:rPr>
          <w:rFonts w:ascii="Times New Roman" w:eastAsia="Times New Roman" w:hAnsi="Times New Roman" w:cs="Times New Roman"/>
          <w:sz w:val="28"/>
          <w:szCs w:val="28"/>
          <w:lang w:eastAsia="ru-RU"/>
        </w:rPr>
        <w:t>+, АЛТ, АСТ, общий и прямой билирубин, глюкоза, общий холестерин, глюкоза, СРБ, РФ, по показаниям сывороточное железо)</w:t>
      </w:r>
      <w:r w:rsidRPr="00B97A7C">
        <w:rPr>
          <w:rFonts w:ascii="Times New Roman" w:eastAsia="Times New Roman" w:hAnsi="Times New Roman" w:cs="Times New Roman"/>
          <w:sz w:val="28"/>
          <w:szCs w:val="28"/>
          <w:lang w:eastAsia="ru-RU"/>
        </w:rPr>
        <w:br/>
        <w:t xml:space="preserve">3. </w:t>
      </w:r>
      <w:proofErr w:type="spellStart"/>
      <w:r w:rsidRPr="00B97A7C">
        <w:rPr>
          <w:rFonts w:ascii="Times New Roman" w:eastAsia="Times New Roman" w:hAnsi="Times New Roman" w:cs="Times New Roman"/>
          <w:sz w:val="28"/>
          <w:szCs w:val="28"/>
          <w:lang w:eastAsia="ru-RU"/>
        </w:rPr>
        <w:t>Микрореакция</w:t>
      </w:r>
      <w:proofErr w:type="spellEnd"/>
      <w:r w:rsidRPr="00B97A7C">
        <w:rPr>
          <w:rFonts w:ascii="Times New Roman" w:eastAsia="Times New Roman" w:hAnsi="Times New Roman" w:cs="Times New Roman"/>
          <w:sz w:val="28"/>
          <w:szCs w:val="28"/>
          <w:lang w:eastAsia="ru-RU"/>
        </w:rPr>
        <w:br/>
        <w:t>4. ОАМ</w:t>
      </w:r>
      <w:r w:rsidRPr="00B97A7C">
        <w:rPr>
          <w:rFonts w:ascii="Times New Roman" w:eastAsia="Times New Roman" w:hAnsi="Times New Roman" w:cs="Times New Roman"/>
          <w:sz w:val="28"/>
          <w:szCs w:val="28"/>
          <w:lang w:eastAsia="ru-RU"/>
        </w:rPr>
        <w:br/>
        <w:t xml:space="preserve">5. АЦЦП - Определение </w:t>
      </w:r>
      <w:proofErr w:type="spellStart"/>
      <w:r w:rsidRPr="00B97A7C">
        <w:rPr>
          <w:rFonts w:ascii="Times New Roman" w:eastAsia="Times New Roman" w:hAnsi="Times New Roman" w:cs="Times New Roman"/>
          <w:sz w:val="28"/>
          <w:szCs w:val="28"/>
          <w:lang w:eastAsia="ru-RU"/>
        </w:rPr>
        <w:t>IgG</w:t>
      </w:r>
      <w:proofErr w:type="spellEnd"/>
      <w:r w:rsidRPr="00B97A7C">
        <w:rPr>
          <w:rFonts w:ascii="Times New Roman" w:eastAsia="Times New Roman" w:hAnsi="Times New Roman" w:cs="Times New Roman"/>
          <w:sz w:val="28"/>
          <w:szCs w:val="28"/>
          <w:lang w:eastAsia="ru-RU"/>
        </w:rPr>
        <w:t xml:space="preserve"> антитела к циклическому </w:t>
      </w:r>
      <w:proofErr w:type="spellStart"/>
      <w:r w:rsidRPr="00B97A7C">
        <w:rPr>
          <w:rFonts w:ascii="Times New Roman" w:eastAsia="Times New Roman" w:hAnsi="Times New Roman" w:cs="Times New Roman"/>
          <w:sz w:val="28"/>
          <w:szCs w:val="28"/>
          <w:lang w:eastAsia="ru-RU"/>
        </w:rPr>
        <w:t>цитруллинсодержащему</w:t>
      </w:r>
      <w:proofErr w:type="spellEnd"/>
      <w:r w:rsidRPr="00B97A7C">
        <w:rPr>
          <w:rFonts w:ascii="Times New Roman" w:eastAsia="Times New Roman" w:hAnsi="Times New Roman" w:cs="Times New Roman"/>
          <w:sz w:val="28"/>
          <w:szCs w:val="28"/>
          <w:lang w:eastAsia="ru-RU"/>
        </w:rPr>
        <w:t xml:space="preserve"> пептиду (</w:t>
      </w:r>
      <w:proofErr w:type="spellStart"/>
      <w:r w:rsidRPr="00B97A7C">
        <w:rPr>
          <w:rFonts w:ascii="Times New Roman" w:eastAsia="Times New Roman" w:hAnsi="Times New Roman" w:cs="Times New Roman"/>
          <w:sz w:val="28"/>
          <w:szCs w:val="28"/>
          <w:lang w:eastAsia="ru-RU"/>
        </w:rPr>
        <w:t>anti</w:t>
      </w:r>
      <w:proofErr w:type="spellEnd"/>
      <w:r w:rsidRPr="00B97A7C">
        <w:rPr>
          <w:rFonts w:ascii="Times New Roman" w:eastAsia="Times New Roman" w:hAnsi="Times New Roman" w:cs="Times New Roman"/>
          <w:sz w:val="28"/>
          <w:szCs w:val="28"/>
          <w:lang w:eastAsia="ru-RU"/>
        </w:rPr>
        <w:t>-CCP)</w:t>
      </w:r>
      <w:r w:rsidRPr="00B97A7C">
        <w:rPr>
          <w:rFonts w:ascii="Times New Roman" w:eastAsia="Times New Roman" w:hAnsi="Times New Roman" w:cs="Times New Roman"/>
          <w:sz w:val="28"/>
          <w:szCs w:val="28"/>
          <w:lang w:eastAsia="ru-RU"/>
        </w:rPr>
        <w:br/>
        <w:t>6. Генетический фактор – HLA-В27(по возможности)</w:t>
      </w:r>
      <w:r w:rsidRPr="00B97A7C">
        <w:rPr>
          <w:rFonts w:ascii="Times New Roman" w:eastAsia="Times New Roman" w:hAnsi="Times New Roman" w:cs="Times New Roman"/>
          <w:sz w:val="28"/>
          <w:szCs w:val="28"/>
          <w:lang w:eastAsia="ru-RU"/>
        </w:rPr>
        <w:br/>
        <w:t>7. При первичном установлении диагноза – ПЦР на ИППП (хламидии, гонорею, трихомонады), при положительном результате требуется предварительная санация очага инфекции до госпитализации</w:t>
      </w:r>
      <w:r w:rsidRPr="00B97A7C">
        <w:rPr>
          <w:rFonts w:ascii="Times New Roman" w:eastAsia="Times New Roman" w:hAnsi="Times New Roman" w:cs="Times New Roman"/>
          <w:sz w:val="28"/>
          <w:szCs w:val="28"/>
          <w:lang w:eastAsia="ru-RU"/>
        </w:rPr>
        <w:br/>
        <w:t>8. Флюорография</w:t>
      </w:r>
      <w:r w:rsidRPr="00B97A7C">
        <w:rPr>
          <w:rFonts w:ascii="Times New Roman" w:eastAsia="Times New Roman" w:hAnsi="Times New Roman" w:cs="Times New Roman"/>
          <w:sz w:val="28"/>
          <w:szCs w:val="28"/>
          <w:lang w:eastAsia="ru-RU"/>
        </w:rPr>
        <w:br/>
        <w:t>9. ЭКГ, ЭХО-КГ</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t xml:space="preserve">10. Рентгенография </w:t>
      </w:r>
      <w:proofErr w:type="spellStart"/>
      <w:r w:rsidRPr="00B97A7C">
        <w:rPr>
          <w:rFonts w:ascii="Times New Roman" w:eastAsia="Times New Roman" w:hAnsi="Times New Roman" w:cs="Times New Roman"/>
          <w:sz w:val="28"/>
          <w:szCs w:val="28"/>
          <w:lang w:eastAsia="ru-RU"/>
        </w:rPr>
        <w:t>сакроилеальных</w:t>
      </w:r>
      <w:proofErr w:type="spellEnd"/>
      <w:r w:rsidRPr="00B97A7C">
        <w:rPr>
          <w:rFonts w:ascii="Times New Roman" w:eastAsia="Times New Roman" w:hAnsi="Times New Roman" w:cs="Times New Roman"/>
          <w:sz w:val="28"/>
          <w:szCs w:val="28"/>
          <w:lang w:eastAsia="ru-RU"/>
        </w:rPr>
        <w:t xml:space="preserve"> сочленений и тазобедренных суставов – ежегодно</w:t>
      </w:r>
      <w:r w:rsidRPr="00B97A7C">
        <w:rPr>
          <w:rFonts w:ascii="Times New Roman" w:eastAsia="Times New Roman" w:hAnsi="Times New Roman" w:cs="Times New Roman"/>
          <w:sz w:val="28"/>
          <w:szCs w:val="28"/>
          <w:lang w:eastAsia="ru-RU"/>
        </w:rPr>
        <w:br/>
        <w:t>11. Консультация гинеколога/уролога, по показаниям – окулист, травматолог-ортопед, кардиолог, невропатолог</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дополнительных диагностических мероприятий:</w:t>
      </w:r>
      <w:r w:rsidRPr="00B97A7C">
        <w:rPr>
          <w:rFonts w:ascii="Times New Roman" w:eastAsia="Times New Roman" w:hAnsi="Times New Roman" w:cs="Times New Roman"/>
          <w:sz w:val="28"/>
          <w:szCs w:val="28"/>
          <w:lang w:eastAsia="ru-RU"/>
        </w:rPr>
        <w:br/>
        <w:t>1. Суточная протеинурия</w:t>
      </w:r>
      <w:r w:rsidRPr="00B97A7C">
        <w:rPr>
          <w:rFonts w:ascii="Times New Roman" w:eastAsia="Times New Roman" w:hAnsi="Times New Roman" w:cs="Times New Roman"/>
          <w:sz w:val="28"/>
          <w:szCs w:val="28"/>
          <w:lang w:eastAsia="ru-RU"/>
        </w:rPr>
        <w:br/>
        <w:t>2. ЭХО-КГ</w:t>
      </w:r>
      <w:r w:rsidRPr="00B97A7C">
        <w:rPr>
          <w:rFonts w:ascii="Times New Roman" w:eastAsia="Times New Roman" w:hAnsi="Times New Roman" w:cs="Times New Roman"/>
          <w:sz w:val="28"/>
          <w:szCs w:val="28"/>
          <w:lang w:eastAsia="ru-RU"/>
        </w:rPr>
        <w:br/>
        <w:t>3. УЗИ ОБП, почек</w:t>
      </w:r>
      <w:r w:rsidRPr="00B97A7C">
        <w:rPr>
          <w:rFonts w:ascii="Times New Roman" w:eastAsia="Times New Roman" w:hAnsi="Times New Roman" w:cs="Times New Roman"/>
          <w:sz w:val="28"/>
          <w:szCs w:val="28"/>
          <w:lang w:eastAsia="ru-RU"/>
        </w:rPr>
        <w:br/>
        <w:t>4. ФГДС</w:t>
      </w:r>
      <w:r w:rsidRPr="00B97A7C">
        <w:rPr>
          <w:rFonts w:ascii="Times New Roman" w:eastAsia="Times New Roman" w:hAnsi="Times New Roman" w:cs="Times New Roman"/>
          <w:sz w:val="28"/>
          <w:szCs w:val="28"/>
          <w:lang w:eastAsia="ru-RU"/>
        </w:rPr>
        <w:br/>
        <w:t>5. КТ костей таза (по показаниям)</w:t>
      </w:r>
      <w:r w:rsidRPr="00B97A7C">
        <w:rPr>
          <w:rFonts w:ascii="Times New Roman" w:eastAsia="Times New Roman" w:hAnsi="Times New Roman" w:cs="Times New Roman"/>
          <w:sz w:val="28"/>
          <w:szCs w:val="28"/>
          <w:lang w:eastAsia="ru-RU"/>
        </w:rPr>
        <w:br/>
        <w:t>6. Консультация невропатолога, окулиста, ортопед, инструктора по ЛФК.</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основных диагностических мероприятий в стационаре:</w:t>
      </w:r>
      <w:r w:rsidRPr="00B97A7C">
        <w:rPr>
          <w:rFonts w:ascii="Times New Roman" w:eastAsia="Times New Roman" w:hAnsi="Times New Roman" w:cs="Times New Roman"/>
          <w:sz w:val="28"/>
          <w:szCs w:val="28"/>
          <w:lang w:eastAsia="ru-RU"/>
        </w:rPr>
        <w:br/>
        <w:t>1. ОАК развернутый с тромбоцитами</w:t>
      </w:r>
      <w:r w:rsidRPr="00B97A7C">
        <w:rPr>
          <w:rFonts w:ascii="Times New Roman" w:eastAsia="Times New Roman" w:hAnsi="Times New Roman" w:cs="Times New Roman"/>
          <w:sz w:val="28"/>
          <w:szCs w:val="28"/>
          <w:lang w:eastAsia="ru-RU"/>
        </w:rPr>
        <w:br/>
        <w:t xml:space="preserve">2. </w:t>
      </w:r>
      <w:proofErr w:type="spellStart"/>
      <w:r w:rsidRPr="00B97A7C">
        <w:rPr>
          <w:rFonts w:ascii="Times New Roman" w:eastAsia="Times New Roman" w:hAnsi="Times New Roman" w:cs="Times New Roman"/>
          <w:sz w:val="28"/>
          <w:szCs w:val="28"/>
          <w:lang w:eastAsia="ru-RU"/>
        </w:rPr>
        <w:t>Коагулограмма</w:t>
      </w:r>
      <w:proofErr w:type="spellEnd"/>
      <w:r w:rsidRPr="00B97A7C">
        <w:rPr>
          <w:rFonts w:ascii="Times New Roman" w:eastAsia="Times New Roman" w:hAnsi="Times New Roman" w:cs="Times New Roman"/>
          <w:sz w:val="28"/>
          <w:szCs w:val="28"/>
          <w:lang w:eastAsia="ru-RU"/>
        </w:rPr>
        <w:br/>
        <w:t xml:space="preserve">3. СРБ, РФ, фибриноген, белковые фракции, </w:t>
      </w:r>
      <w:proofErr w:type="spellStart"/>
      <w:r w:rsidRPr="00B97A7C">
        <w:rPr>
          <w:rFonts w:ascii="Times New Roman" w:eastAsia="Times New Roman" w:hAnsi="Times New Roman" w:cs="Times New Roman"/>
          <w:sz w:val="28"/>
          <w:szCs w:val="28"/>
          <w:lang w:eastAsia="ru-RU"/>
        </w:rPr>
        <w:t>креатинин</w:t>
      </w:r>
      <w:proofErr w:type="spellEnd"/>
      <w:r w:rsidRPr="00B97A7C">
        <w:rPr>
          <w:rFonts w:ascii="Times New Roman" w:eastAsia="Times New Roman" w:hAnsi="Times New Roman" w:cs="Times New Roman"/>
          <w:sz w:val="28"/>
          <w:szCs w:val="28"/>
          <w:lang w:eastAsia="ru-RU"/>
        </w:rPr>
        <w:t>, АЛТ, АСТ, тимоловая проба</w:t>
      </w:r>
      <w:r w:rsidRPr="00B97A7C">
        <w:rPr>
          <w:rFonts w:ascii="Times New Roman" w:eastAsia="Times New Roman" w:hAnsi="Times New Roman" w:cs="Times New Roman"/>
          <w:sz w:val="28"/>
          <w:szCs w:val="28"/>
          <w:lang w:eastAsia="ru-RU"/>
        </w:rPr>
        <w:br/>
        <w:t xml:space="preserve">4. </w:t>
      </w:r>
      <w:proofErr w:type="spellStart"/>
      <w:r w:rsidRPr="00B97A7C">
        <w:rPr>
          <w:rFonts w:ascii="Times New Roman" w:eastAsia="Times New Roman" w:hAnsi="Times New Roman" w:cs="Times New Roman"/>
          <w:sz w:val="28"/>
          <w:szCs w:val="28"/>
          <w:lang w:eastAsia="ru-RU"/>
        </w:rPr>
        <w:t>ЭхоКГ</w:t>
      </w:r>
      <w:proofErr w:type="spellEnd"/>
      <w:r w:rsidRPr="00B97A7C">
        <w:rPr>
          <w:rFonts w:ascii="Times New Roman" w:eastAsia="Times New Roman" w:hAnsi="Times New Roman" w:cs="Times New Roman"/>
          <w:sz w:val="28"/>
          <w:szCs w:val="28"/>
          <w:lang w:eastAsia="ru-RU"/>
        </w:rPr>
        <w:br/>
        <w:t>5. УЗИ ОБП + почек</w:t>
      </w:r>
      <w:r w:rsidRPr="00B97A7C">
        <w:rPr>
          <w:rFonts w:ascii="Times New Roman" w:eastAsia="Times New Roman" w:hAnsi="Times New Roman" w:cs="Times New Roman"/>
          <w:sz w:val="28"/>
          <w:szCs w:val="28"/>
          <w:lang w:eastAsia="ru-RU"/>
        </w:rPr>
        <w:br/>
        <w:t xml:space="preserve">6. R-графия т/б суставов с захватом </w:t>
      </w:r>
      <w:proofErr w:type="spellStart"/>
      <w:r w:rsidRPr="00B97A7C">
        <w:rPr>
          <w:rFonts w:ascii="Times New Roman" w:eastAsia="Times New Roman" w:hAnsi="Times New Roman" w:cs="Times New Roman"/>
          <w:sz w:val="28"/>
          <w:szCs w:val="28"/>
          <w:lang w:eastAsia="ru-RU"/>
        </w:rPr>
        <w:t>илеосакральных</w:t>
      </w:r>
      <w:proofErr w:type="spellEnd"/>
      <w:r w:rsidRPr="00B97A7C">
        <w:rPr>
          <w:rFonts w:ascii="Times New Roman" w:eastAsia="Times New Roman" w:hAnsi="Times New Roman" w:cs="Times New Roman"/>
          <w:sz w:val="28"/>
          <w:szCs w:val="28"/>
          <w:lang w:eastAsia="ru-RU"/>
        </w:rPr>
        <w:t xml:space="preserve"> областей</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дополнительных диагностических мероприятий в стационаре:</w:t>
      </w:r>
      <w:r w:rsidRPr="00B97A7C">
        <w:rPr>
          <w:rFonts w:ascii="Times New Roman" w:eastAsia="Times New Roman" w:hAnsi="Times New Roman" w:cs="Times New Roman"/>
          <w:sz w:val="28"/>
          <w:szCs w:val="28"/>
          <w:lang w:eastAsia="ru-RU"/>
        </w:rPr>
        <w:br/>
        <w:t>1. ФГДС</w:t>
      </w:r>
      <w:r w:rsidRPr="00B97A7C">
        <w:rPr>
          <w:rFonts w:ascii="Times New Roman" w:eastAsia="Times New Roman" w:hAnsi="Times New Roman" w:cs="Times New Roman"/>
          <w:sz w:val="28"/>
          <w:szCs w:val="28"/>
          <w:lang w:eastAsia="ru-RU"/>
        </w:rPr>
        <w:br/>
        <w:t>2. R-графия других отделов позвоночника – по показаниям</w:t>
      </w:r>
      <w:r w:rsidRPr="00B97A7C">
        <w:rPr>
          <w:rFonts w:ascii="Times New Roman" w:eastAsia="Times New Roman" w:hAnsi="Times New Roman" w:cs="Times New Roman"/>
          <w:sz w:val="28"/>
          <w:szCs w:val="28"/>
          <w:lang w:eastAsia="ru-RU"/>
        </w:rPr>
        <w:br/>
        <w:t>3. ПЦР на ИППП (хламидии) – по показаниям</w:t>
      </w:r>
      <w:r w:rsidRPr="00B97A7C">
        <w:rPr>
          <w:rFonts w:ascii="Times New Roman" w:eastAsia="Times New Roman" w:hAnsi="Times New Roman" w:cs="Times New Roman"/>
          <w:sz w:val="28"/>
          <w:szCs w:val="28"/>
          <w:lang w:eastAsia="ru-RU"/>
        </w:rPr>
        <w:br/>
        <w:t>4. Консультация узких специалистов (окулист, уролог, невропатолог) – по показаниям</w:t>
      </w:r>
    </w:p>
    <w:p w:rsidR="00D85C55" w:rsidRDefault="00D85C55" w:rsidP="00D85C55">
      <w:pPr>
        <w:spacing w:after="0" w:line="360" w:lineRule="auto"/>
        <w:ind w:firstLine="709"/>
        <w:rPr>
          <w:rFonts w:ascii="Times New Roman" w:eastAsia="Times New Roman" w:hAnsi="Times New Roman" w:cs="Times New Roman"/>
          <w:sz w:val="28"/>
          <w:szCs w:val="28"/>
          <w:lang w:eastAsia="ru-RU"/>
        </w:rPr>
      </w:pPr>
    </w:p>
    <w:p w:rsidR="00D85C55" w:rsidRPr="00B97A7C" w:rsidRDefault="00D85C55" w:rsidP="00D85C55">
      <w:pPr>
        <w:spacing w:after="0" w:line="360" w:lineRule="auto"/>
        <w:ind w:firstLine="709"/>
        <w:rPr>
          <w:rFonts w:ascii="Times New Roman" w:eastAsia="Times New Roman" w:hAnsi="Times New Roman" w:cs="Times New Roman"/>
          <w:sz w:val="28"/>
          <w:szCs w:val="28"/>
          <w:lang w:eastAsia="ru-RU"/>
        </w:rPr>
      </w:pPr>
    </w:p>
    <w:p w:rsidR="00B97A7C" w:rsidRPr="00B97A7C" w:rsidRDefault="00B97A7C" w:rsidP="00D85C55">
      <w:pPr>
        <w:shd w:val="clear" w:color="auto" w:fill="6A9FBE"/>
        <w:spacing w:after="0" w:line="360" w:lineRule="auto"/>
        <w:ind w:firstLine="709"/>
        <w:outlineLvl w:val="1"/>
        <w:rPr>
          <w:rFonts w:ascii="Times New Roman" w:eastAsia="Times New Roman" w:hAnsi="Times New Roman" w:cs="Times New Roman"/>
          <w:b/>
          <w:bCs/>
          <w:color w:val="FFFFFF"/>
          <w:sz w:val="28"/>
          <w:szCs w:val="28"/>
          <w:lang w:eastAsia="ru-RU"/>
        </w:rPr>
      </w:pPr>
      <w:r w:rsidRPr="00B97A7C">
        <w:rPr>
          <w:rFonts w:ascii="Times New Roman" w:eastAsia="Times New Roman" w:hAnsi="Times New Roman" w:cs="Times New Roman"/>
          <w:b/>
          <w:bCs/>
          <w:color w:val="FFFFFF"/>
          <w:sz w:val="28"/>
          <w:szCs w:val="28"/>
          <w:lang w:eastAsia="ru-RU"/>
        </w:rPr>
        <w:lastRenderedPageBreak/>
        <w:t>Дифференциальный диагноз</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sz w:val="28"/>
          <w:szCs w:val="28"/>
          <w:lang w:eastAsia="ru-RU"/>
        </w:rPr>
        <w:br/>
        <w:t xml:space="preserve">1. АС необходимо отличать от мышечно-скелетных болей в нижней части спины </w:t>
      </w:r>
      <w:proofErr w:type="spellStart"/>
      <w:r w:rsidRPr="00B97A7C">
        <w:rPr>
          <w:rFonts w:ascii="Times New Roman" w:eastAsia="Times New Roman" w:hAnsi="Times New Roman" w:cs="Times New Roman"/>
          <w:sz w:val="28"/>
          <w:szCs w:val="28"/>
          <w:lang w:eastAsia="ru-RU"/>
        </w:rPr>
        <w:t>невоспалительного</w:t>
      </w:r>
      <w:proofErr w:type="spellEnd"/>
      <w:r w:rsidRPr="00B97A7C">
        <w:rPr>
          <w:rFonts w:ascii="Times New Roman" w:eastAsia="Times New Roman" w:hAnsi="Times New Roman" w:cs="Times New Roman"/>
          <w:sz w:val="28"/>
          <w:szCs w:val="28"/>
          <w:lang w:eastAsia="ru-RU"/>
        </w:rPr>
        <w:t xml:space="preserve"> генеза. Дифференциально-диагностическое значение придаётся ритму болевых ощущений, утренней скованности, особенности ограничений движений в позвоночнике. При </w:t>
      </w:r>
      <w:proofErr w:type="spellStart"/>
      <w:r w:rsidRPr="00B97A7C">
        <w:rPr>
          <w:rFonts w:ascii="Times New Roman" w:eastAsia="Times New Roman" w:hAnsi="Times New Roman" w:cs="Times New Roman"/>
          <w:sz w:val="28"/>
          <w:szCs w:val="28"/>
          <w:lang w:eastAsia="ru-RU"/>
        </w:rPr>
        <w:t>невоспалительном</w:t>
      </w:r>
      <w:proofErr w:type="spellEnd"/>
      <w:r w:rsidRPr="00B97A7C">
        <w:rPr>
          <w:rFonts w:ascii="Times New Roman" w:eastAsia="Times New Roman" w:hAnsi="Times New Roman" w:cs="Times New Roman"/>
          <w:sz w:val="28"/>
          <w:szCs w:val="28"/>
          <w:lang w:eastAsia="ru-RU"/>
        </w:rPr>
        <w:t xml:space="preserve"> поражении позвоночника боли обычно усиливаются от движений, утренняя скованность отсутствует либо кратковременна, движения ограничиваются чаще только в одной плоскости. Существенное значение имеют также рентгенологическая картина крестцово-подвздошных суставов и величина СОЭ и СРБ, данные неврологического обследования (при АС изменений обычно не находят), а в ряде случаев также результаты КТ по</w:t>
      </w:r>
      <w:r w:rsidRPr="00B97A7C">
        <w:rPr>
          <w:rFonts w:ascii="Times New Roman" w:eastAsia="Times New Roman" w:hAnsi="Times New Roman" w:cs="Times New Roman"/>
          <w:sz w:val="28"/>
          <w:szCs w:val="28"/>
          <w:lang w:eastAsia="ru-RU"/>
        </w:rPr>
        <w:softHyphen/>
        <w:t>звоночника.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 xml:space="preserve">2. У детей и подростков АС может имитировать болезнь </w:t>
      </w:r>
      <w:proofErr w:type="spellStart"/>
      <w:r w:rsidRPr="00B97A7C">
        <w:rPr>
          <w:rFonts w:ascii="Times New Roman" w:eastAsia="Times New Roman" w:hAnsi="Times New Roman" w:cs="Times New Roman"/>
          <w:sz w:val="28"/>
          <w:szCs w:val="28"/>
          <w:lang w:eastAsia="ru-RU"/>
        </w:rPr>
        <w:t>Шейермана</w:t>
      </w:r>
      <w:proofErr w:type="spellEnd"/>
      <w:r w:rsidRPr="00B97A7C">
        <w:rPr>
          <w:rFonts w:ascii="Times New Roman" w:eastAsia="Times New Roman" w:hAnsi="Times New Roman" w:cs="Times New Roman"/>
          <w:sz w:val="28"/>
          <w:szCs w:val="28"/>
          <w:lang w:eastAsia="ru-RU"/>
        </w:rPr>
        <w:t>—</w:t>
      </w:r>
      <w:proofErr w:type="spellStart"/>
      <w:r w:rsidRPr="00B97A7C">
        <w:rPr>
          <w:rFonts w:ascii="Times New Roman" w:eastAsia="Times New Roman" w:hAnsi="Times New Roman" w:cs="Times New Roman"/>
          <w:sz w:val="28"/>
          <w:szCs w:val="28"/>
          <w:lang w:eastAsia="ru-RU"/>
        </w:rPr>
        <w:t>May</w:t>
      </w:r>
      <w:proofErr w:type="spellEnd"/>
      <w:r w:rsidRPr="00B97A7C">
        <w:rPr>
          <w:rFonts w:ascii="Times New Roman" w:eastAsia="Times New Roman" w:hAnsi="Times New Roman" w:cs="Times New Roman"/>
          <w:sz w:val="28"/>
          <w:szCs w:val="28"/>
          <w:lang w:eastAsia="ru-RU"/>
        </w:rPr>
        <w:t xml:space="preserve"> (юношеский кифоз) или другие врождённые аномалии позвоночника, отличающиеся характерными рентгенологическими изменениями. Нужно принимать во внимание, что при ювенильном АС поражение позвоночного столба до 15-16-лет</w:t>
      </w:r>
      <w:r w:rsidRPr="00B97A7C">
        <w:rPr>
          <w:rFonts w:ascii="Times New Roman" w:eastAsia="Times New Roman" w:hAnsi="Times New Roman" w:cs="Times New Roman"/>
          <w:sz w:val="28"/>
          <w:szCs w:val="28"/>
          <w:lang w:eastAsia="ru-RU"/>
        </w:rPr>
        <w:softHyphen/>
        <w:t>него возраста наблюдается редко.</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 xml:space="preserve">3. Иногда АС приходится отграничивать от инфекционного спондилита и </w:t>
      </w:r>
      <w:proofErr w:type="spellStart"/>
      <w:r w:rsidRPr="00B97A7C">
        <w:rPr>
          <w:rFonts w:ascii="Times New Roman" w:eastAsia="Times New Roman" w:hAnsi="Times New Roman" w:cs="Times New Roman"/>
          <w:sz w:val="28"/>
          <w:szCs w:val="28"/>
          <w:lang w:eastAsia="ru-RU"/>
        </w:rPr>
        <w:t>спондилодисцита</w:t>
      </w:r>
      <w:proofErr w:type="spellEnd"/>
      <w:r w:rsidRPr="00B97A7C">
        <w:rPr>
          <w:rFonts w:ascii="Times New Roman" w:eastAsia="Times New Roman" w:hAnsi="Times New Roman" w:cs="Times New Roman"/>
          <w:sz w:val="28"/>
          <w:szCs w:val="28"/>
          <w:lang w:eastAsia="ru-RU"/>
        </w:rPr>
        <w:t xml:space="preserve">. Основное значение в этих случаях имеют </w:t>
      </w:r>
      <w:proofErr w:type="spellStart"/>
      <w:r w:rsidRPr="00B97A7C">
        <w:rPr>
          <w:rFonts w:ascii="Times New Roman" w:eastAsia="Times New Roman" w:hAnsi="Times New Roman" w:cs="Times New Roman"/>
          <w:sz w:val="28"/>
          <w:szCs w:val="28"/>
          <w:lang w:eastAsia="ru-RU"/>
        </w:rPr>
        <w:t>томографические</w:t>
      </w:r>
      <w:proofErr w:type="spellEnd"/>
      <w:r w:rsidRPr="00B97A7C">
        <w:rPr>
          <w:rFonts w:ascii="Times New Roman" w:eastAsia="Times New Roman" w:hAnsi="Times New Roman" w:cs="Times New Roman"/>
          <w:sz w:val="28"/>
          <w:szCs w:val="28"/>
          <w:lang w:eastAsia="ru-RU"/>
        </w:rPr>
        <w:t xml:space="preserve"> исследования позвоночника (выявление «</w:t>
      </w:r>
      <w:proofErr w:type="spellStart"/>
      <w:r w:rsidRPr="00B97A7C">
        <w:rPr>
          <w:rFonts w:ascii="Times New Roman" w:eastAsia="Times New Roman" w:hAnsi="Times New Roman" w:cs="Times New Roman"/>
          <w:sz w:val="28"/>
          <w:szCs w:val="28"/>
          <w:lang w:eastAsia="ru-RU"/>
        </w:rPr>
        <w:t>натёчников</w:t>
      </w:r>
      <w:proofErr w:type="spellEnd"/>
      <w:r w:rsidRPr="00B97A7C">
        <w:rPr>
          <w:rFonts w:ascii="Times New Roman" w:eastAsia="Times New Roman" w:hAnsi="Times New Roman" w:cs="Times New Roman"/>
          <w:sz w:val="28"/>
          <w:szCs w:val="28"/>
          <w:lang w:eastAsia="ru-RU"/>
        </w:rPr>
        <w:t>» в околопозвоночных мягких тканях), поиск туберкулёза и других бактериальных инфекций.</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 xml:space="preserve">4. АС могут напоминать отдельные клинические и рентгенологические проявления болезни </w:t>
      </w:r>
      <w:proofErr w:type="spellStart"/>
      <w:r w:rsidRPr="00B97A7C">
        <w:rPr>
          <w:rFonts w:ascii="Times New Roman" w:eastAsia="Times New Roman" w:hAnsi="Times New Roman" w:cs="Times New Roman"/>
          <w:sz w:val="28"/>
          <w:szCs w:val="28"/>
          <w:lang w:eastAsia="ru-RU"/>
        </w:rPr>
        <w:t>Педжета</w:t>
      </w:r>
      <w:proofErr w:type="spellEnd"/>
      <w:r w:rsidRPr="00B97A7C">
        <w:rPr>
          <w:rFonts w:ascii="Times New Roman" w:eastAsia="Times New Roman" w:hAnsi="Times New Roman" w:cs="Times New Roman"/>
          <w:sz w:val="28"/>
          <w:szCs w:val="28"/>
          <w:lang w:eastAsia="ru-RU"/>
        </w:rPr>
        <w:t xml:space="preserve"> (деформирующий остеит), болезни </w:t>
      </w:r>
      <w:proofErr w:type="spellStart"/>
      <w:r w:rsidRPr="00B97A7C">
        <w:rPr>
          <w:rFonts w:ascii="Times New Roman" w:eastAsia="Times New Roman" w:hAnsi="Times New Roman" w:cs="Times New Roman"/>
          <w:sz w:val="28"/>
          <w:szCs w:val="28"/>
          <w:lang w:eastAsia="ru-RU"/>
        </w:rPr>
        <w:t>Форестье</w:t>
      </w:r>
      <w:proofErr w:type="spellEnd"/>
      <w:r w:rsidRPr="00B97A7C">
        <w:rPr>
          <w:rFonts w:ascii="Times New Roman" w:eastAsia="Times New Roman" w:hAnsi="Times New Roman" w:cs="Times New Roman"/>
          <w:sz w:val="28"/>
          <w:szCs w:val="28"/>
          <w:lang w:eastAsia="ru-RU"/>
        </w:rPr>
        <w:t xml:space="preserve"> (идиопатический диффузный </w:t>
      </w:r>
      <w:proofErr w:type="spellStart"/>
      <w:r w:rsidRPr="00B97A7C">
        <w:rPr>
          <w:rFonts w:ascii="Times New Roman" w:eastAsia="Times New Roman" w:hAnsi="Times New Roman" w:cs="Times New Roman"/>
          <w:sz w:val="28"/>
          <w:szCs w:val="28"/>
          <w:lang w:eastAsia="ru-RU"/>
        </w:rPr>
        <w:t>гиперостоз</w:t>
      </w:r>
      <w:proofErr w:type="spellEnd"/>
      <w:r w:rsidRPr="00B97A7C">
        <w:rPr>
          <w:rFonts w:ascii="Times New Roman" w:eastAsia="Times New Roman" w:hAnsi="Times New Roman" w:cs="Times New Roman"/>
          <w:sz w:val="28"/>
          <w:szCs w:val="28"/>
          <w:lang w:eastAsia="ru-RU"/>
        </w:rPr>
        <w:t xml:space="preserve"> скелета), </w:t>
      </w:r>
      <w:proofErr w:type="spellStart"/>
      <w:r w:rsidRPr="00B97A7C">
        <w:rPr>
          <w:rFonts w:ascii="Times New Roman" w:eastAsia="Times New Roman" w:hAnsi="Times New Roman" w:cs="Times New Roman"/>
          <w:sz w:val="28"/>
          <w:szCs w:val="28"/>
          <w:lang w:eastAsia="ru-RU"/>
        </w:rPr>
        <w:t>гипопаратиреоза</w:t>
      </w:r>
      <w:proofErr w:type="spellEnd"/>
      <w:r w:rsidRPr="00B97A7C">
        <w:rPr>
          <w:rFonts w:ascii="Times New Roman" w:eastAsia="Times New Roman" w:hAnsi="Times New Roman" w:cs="Times New Roman"/>
          <w:sz w:val="28"/>
          <w:szCs w:val="28"/>
          <w:lang w:eastAsia="ru-RU"/>
        </w:rPr>
        <w:t xml:space="preserve">, аксиальной остеомаляции, флюороза, врождённого или приобретённого </w:t>
      </w:r>
      <w:proofErr w:type="spellStart"/>
      <w:r w:rsidRPr="00B97A7C">
        <w:rPr>
          <w:rFonts w:ascii="Times New Roman" w:eastAsia="Times New Roman" w:hAnsi="Times New Roman" w:cs="Times New Roman"/>
          <w:sz w:val="28"/>
          <w:szCs w:val="28"/>
          <w:lang w:eastAsia="ru-RU"/>
        </w:rPr>
        <w:t>кифосколиоза</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пирофосфатнойартропатии</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охроноза</w:t>
      </w:r>
      <w:proofErr w:type="spellEnd"/>
      <w:r w:rsidRPr="00B97A7C">
        <w:rPr>
          <w:rFonts w:ascii="Times New Roman" w:eastAsia="Times New Roman" w:hAnsi="Times New Roman" w:cs="Times New Roman"/>
          <w:sz w:val="28"/>
          <w:szCs w:val="28"/>
          <w:lang w:eastAsia="ru-RU"/>
        </w:rPr>
        <w:t xml:space="preserve">, конденсирующего илеита. Во всех этих случаях не отмечается указанных выше критериев диагноза АС, а </w:t>
      </w:r>
      <w:r w:rsidRPr="00B97A7C">
        <w:rPr>
          <w:rFonts w:ascii="Times New Roman" w:eastAsia="Times New Roman" w:hAnsi="Times New Roman" w:cs="Times New Roman"/>
          <w:sz w:val="28"/>
          <w:szCs w:val="28"/>
          <w:lang w:eastAsia="ru-RU"/>
        </w:rPr>
        <w:lastRenderedPageBreak/>
        <w:t>рентгенологические изменения, как правило, лишь напоминают, но не идентичны изменениям, наблюдающимся при АС.</w:t>
      </w:r>
    </w:p>
    <w:p w:rsidR="00B97A7C" w:rsidRPr="00B97A7C" w:rsidRDefault="00B97A7C" w:rsidP="00D85C55">
      <w:pPr>
        <w:shd w:val="clear" w:color="auto" w:fill="6A9FBE"/>
        <w:spacing w:after="0" w:line="360" w:lineRule="auto"/>
        <w:ind w:firstLine="709"/>
        <w:outlineLvl w:val="1"/>
        <w:rPr>
          <w:rFonts w:ascii="Times New Roman" w:eastAsia="Times New Roman" w:hAnsi="Times New Roman" w:cs="Times New Roman"/>
          <w:b/>
          <w:bCs/>
          <w:color w:val="FFFFFF"/>
          <w:sz w:val="28"/>
          <w:szCs w:val="28"/>
          <w:lang w:eastAsia="ru-RU"/>
        </w:rPr>
      </w:pPr>
      <w:r w:rsidRPr="00B97A7C">
        <w:rPr>
          <w:rFonts w:ascii="Times New Roman" w:eastAsia="Times New Roman" w:hAnsi="Times New Roman" w:cs="Times New Roman"/>
          <w:b/>
          <w:bCs/>
          <w:color w:val="FFFFFF"/>
          <w:sz w:val="28"/>
          <w:szCs w:val="28"/>
          <w:lang w:eastAsia="ru-RU"/>
        </w:rPr>
        <w:t>Лечение</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Цели лечения: </w:t>
      </w:r>
      <w:r w:rsidRPr="00B97A7C">
        <w:rPr>
          <w:rFonts w:ascii="Times New Roman" w:eastAsia="Times New Roman" w:hAnsi="Times New Roman" w:cs="Times New Roman"/>
          <w:sz w:val="28"/>
          <w:szCs w:val="28"/>
          <w:lang w:eastAsia="ru-RU"/>
        </w:rPr>
        <w:br/>
        <w:t xml:space="preserve">1. Уменьшение выраженности боли в позвоночнике, периферических суставах и </w:t>
      </w:r>
      <w:proofErr w:type="spellStart"/>
      <w:r w:rsidRPr="00B97A7C">
        <w:rPr>
          <w:rFonts w:ascii="Times New Roman" w:eastAsia="Times New Roman" w:hAnsi="Times New Roman" w:cs="Times New Roman"/>
          <w:sz w:val="28"/>
          <w:szCs w:val="28"/>
          <w:lang w:eastAsia="ru-RU"/>
        </w:rPr>
        <w:t>энтезисах</w:t>
      </w:r>
      <w:proofErr w:type="spellEnd"/>
      <w:r w:rsidRPr="00B97A7C">
        <w:rPr>
          <w:rFonts w:ascii="Times New Roman" w:eastAsia="Times New Roman" w:hAnsi="Times New Roman" w:cs="Times New Roman"/>
          <w:sz w:val="28"/>
          <w:szCs w:val="28"/>
          <w:lang w:eastAsia="ru-RU"/>
        </w:rPr>
        <w:t>, поддержание подвижности позвоночника.</w:t>
      </w:r>
      <w:r w:rsidRPr="00B97A7C">
        <w:rPr>
          <w:rFonts w:ascii="Times New Roman" w:eastAsia="Times New Roman" w:hAnsi="Times New Roman" w:cs="Times New Roman"/>
          <w:sz w:val="28"/>
          <w:szCs w:val="28"/>
          <w:lang w:eastAsia="ru-RU"/>
        </w:rPr>
        <w:br/>
        <w:t xml:space="preserve">2. Купирование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3. Возможность замедления прогрессирования болезни не доказана.</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Тактика лечения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Немедикаментозное лечение:</w:t>
      </w:r>
      <w:r w:rsidRPr="00B97A7C">
        <w:rPr>
          <w:rFonts w:ascii="Times New Roman" w:eastAsia="Times New Roman" w:hAnsi="Times New Roman" w:cs="Times New Roman"/>
          <w:sz w:val="28"/>
          <w:szCs w:val="28"/>
          <w:lang w:eastAsia="ru-RU"/>
        </w:rPr>
        <w:br/>
        <w:t>1. Ежедневное выполнение пациентом специальных физических упражнений. Один или два раза в день в течение 30 мин должны проводиться дыхательная гимнастика и упражнения, направленные на поддержание достаточной амплитуды движений позвоночника (с акцентом на разгибательные движения), крупных суставов, а также на укрепление мышц спины.</w:t>
      </w:r>
      <w:r w:rsidRPr="00B97A7C">
        <w:rPr>
          <w:rFonts w:ascii="Times New Roman" w:eastAsia="Times New Roman" w:hAnsi="Times New Roman" w:cs="Times New Roman"/>
          <w:sz w:val="28"/>
          <w:szCs w:val="28"/>
          <w:lang w:eastAsia="ru-RU"/>
        </w:rPr>
        <w:br/>
        <w:t>2. При небольшой активности АС показан регулярный массаж мышц спины и бальнеотерапия.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Медикаментозное лечение</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t>НЕСТЕРОИДНЫЕ ПРОТИВОВОСПАЛИТЕЛЬНЫЕ ПРЕПАРАТЫ</w:t>
      </w:r>
      <w:r w:rsidRPr="00B97A7C">
        <w:rPr>
          <w:rFonts w:ascii="Times New Roman" w:eastAsia="Times New Roman" w:hAnsi="Times New Roman" w:cs="Times New Roman"/>
          <w:sz w:val="28"/>
          <w:szCs w:val="28"/>
          <w:lang w:eastAsia="ru-RU"/>
        </w:rPr>
        <w:br/>
        <w:t>1. Назначают с целью уменьшения болей и скованности в позвоночнике всем пациентам.</w:t>
      </w:r>
      <w:r w:rsidRPr="00B97A7C">
        <w:rPr>
          <w:rFonts w:ascii="Times New Roman" w:eastAsia="Times New Roman" w:hAnsi="Times New Roman" w:cs="Times New Roman"/>
          <w:sz w:val="28"/>
          <w:szCs w:val="28"/>
          <w:lang w:eastAsia="ru-RU"/>
        </w:rPr>
        <w:br/>
        <w:t>2. Эффективность доказана в плацебо-контролируемых исследованиях.</w:t>
      </w:r>
      <w:r w:rsidRPr="00B97A7C">
        <w:rPr>
          <w:rFonts w:ascii="Times New Roman" w:eastAsia="Times New Roman" w:hAnsi="Times New Roman" w:cs="Times New Roman"/>
          <w:sz w:val="28"/>
          <w:szCs w:val="28"/>
          <w:lang w:eastAsia="ru-RU"/>
        </w:rPr>
        <w:br/>
        <w:t xml:space="preserve">3. Традиционно наиболее эффективными считаются </w:t>
      </w:r>
      <w:proofErr w:type="spellStart"/>
      <w:r w:rsidRPr="00B97A7C">
        <w:rPr>
          <w:rFonts w:ascii="Times New Roman" w:eastAsia="Times New Roman" w:hAnsi="Times New Roman" w:cs="Times New Roman"/>
          <w:sz w:val="28"/>
          <w:szCs w:val="28"/>
          <w:lang w:eastAsia="ru-RU"/>
        </w:rPr>
        <w:t>индометацин</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диклофенак</w:t>
      </w:r>
      <w:proofErr w:type="spellEnd"/>
      <w:r w:rsidRPr="00B97A7C">
        <w:rPr>
          <w:rFonts w:ascii="Times New Roman" w:eastAsia="Times New Roman" w:hAnsi="Times New Roman" w:cs="Times New Roman"/>
          <w:sz w:val="28"/>
          <w:szCs w:val="28"/>
          <w:lang w:eastAsia="ru-RU"/>
        </w:rPr>
        <w:t xml:space="preserve"> и </w:t>
      </w:r>
      <w:proofErr w:type="spellStart"/>
      <w:r w:rsidRPr="00B97A7C">
        <w:rPr>
          <w:rFonts w:ascii="Times New Roman" w:eastAsia="Times New Roman" w:hAnsi="Times New Roman" w:cs="Times New Roman"/>
          <w:sz w:val="28"/>
          <w:szCs w:val="28"/>
          <w:lang w:eastAsia="ru-RU"/>
        </w:rPr>
        <w:t>ацеклофенак</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мелоксикам</w:t>
      </w:r>
      <w:proofErr w:type="spellEnd"/>
      <w:r w:rsidRPr="00B97A7C">
        <w:rPr>
          <w:rFonts w:ascii="Times New Roman" w:eastAsia="Times New Roman" w:hAnsi="Times New Roman" w:cs="Times New Roman"/>
          <w:sz w:val="28"/>
          <w:szCs w:val="28"/>
          <w:lang w:eastAsia="ru-RU"/>
        </w:rPr>
        <w:t xml:space="preserve"> хотя в сравнительных контролируемых исследованиях их преимущества в анальгетическом отношении над другими НПВП не </w:t>
      </w:r>
      <w:r w:rsidRPr="00B97A7C">
        <w:rPr>
          <w:rFonts w:ascii="Times New Roman" w:eastAsia="Times New Roman" w:hAnsi="Times New Roman" w:cs="Times New Roman"/>
          <w:sz w:val="28"/>
          <w:szCs w:val="28"/>
          <w:lang w:eastAsia="ru-RU"/>
        </w:rPr>
        <w:lastRenderedPageBreak/>
        <w:t>установлены.</w:t>
      </w:r>
      <w:r w:rsidRPr="00B97A7C">
        <w:rPr>
          <w:rFonts w:ascii="Times New Roman" w:eastAsia="Times New Roman" w:hAnsi="Times New Roman" w:cs="Times New Roman"/>
          <w:sz w:val="28"/>
          <w:szCs w:val="28"/>
          <w:lang w:eastAsia="ru-RU"/>
        </w:rPr>
        <w:br/>
        <w:t>4. В начале лечения обычно применяется максимальная суточная доза каждого препарата.</w:t>
      </w:r>
      <w:r w:rsidRPr="00B97A7C">
        <w:rPr>
          <w:rFonts w:ascii="Times New Roman" w:eastAsia="Times New Roman" w:hAnsi="Times New Roman" w:cs="Times New Roman"/>
          <w:sz w:val="28"/>
          <w:szCs w:val="28"/>
          <w:lang w:eastAsia="ru-RU"/>
        </w:rPr>
        <w:br/>
        <w:t>5. Рекомендуется распределять приём НПВП в течение суток с учётом индивидуальных особенностей ритма болей и скованности пациента. Нередко требуется отдельный приём препарата на ночь.</w:t>
      </w:r>
      <w:r w:rsidRPr="00B97A7C">
        <w:rPr>
          <w:rFonts w:ascii="Times New Roman" w:eastAsia="Times New Roman" w:hAnsi="Times New Roman" w:cs="Times New Roman"/>
          <w:sz w:val="28"/>
          <w:szCs w:val="28"/>
          <w:lang w:eastAsia="ru-RU"/>
        </w:rPr>
        <w:br/>
        <w:t xml:space="preserve">6. Противоболевой эффект реализуется в течение 1-2 </w:t>
      </w:r>
      <w:proofErr w:type="spellStart"/>
      <w:r w:rsidRPr="00B97A7C">
        <w:rPr>
          <w:rFonts w:ascii="Times New Roman" w:eastAsia="Times New Roman" w:hAnsi="Times New Roman" w:cs="Times New Roman"/>
          <w:sz w:val="28"/>
          <w:szCs w:val="28"/>
          <w:lang w:eastAsia="ru-RU"/>
        </w:rPr>
        <w:t>нед</w:t>
      </w:r>
      <w:proofErr w:type="spellEnd"/>
      <w:r w:rsidRPr="00B97A7C">
        <w:rPr>
          <w:rFonts w:ascii="Times New Roman" w:eastAsia="Times New Roman" w:hAnsi="Times New Roman" w:cs="Times New Roman"/>
          <w:sz w:val="28"/>
          <w:szCs w:val="28"/>
          <w:lang w:eastAsia="ru-RU"/>
        </w:rPr>
        <w:t>; для оценки переносимости избранного препарата требуется около 1 мес. В случае эффективности и хорошей переносимости НПВП применяют длительно.</w:t>
      </w:r>
      <w:r w:rsidRPr="00B97A7C">
        <w:rPr>
          <w:rFonts w:ascii="Times New Roman" w:eastAsia="Times New Roman" w:hAnsi="Times New Roman" w:cs="Times New Roman"/>
          <w:sz w:val="28"/>
          <w:szCs w:val="28"/>
          <w:lang w:eastAsia="ru-RU"/>
        </w:rPr>
        <w:br/>
        <w:t>7. Длительность приёма НПВП у каждого пациента определяется индивидуально. В случае стойкого уменьшения болей со стороны позвоночника возможны уменьшение дозы и отмена НПВП (если болевой синдром не усиливается). Развивающееся обострение является показанием для возобновления этой терапии.</w:t>
      </w:r>
      <w:r w:rsidRPr="00B97A7C">
        <w:rPr>
          <w:rFonts w:ascii="Times New Roman" w:eastAsia="Times New Roman" w:hAnsi="Times New Roman" w:cs="Times New Roman"/>
          <w:sz w:val="28"/>
          <w:szCs w:val="28"/>
          <w:lang w:eastAsia="ru-RU"/>
        </w:rPr>
        <w:br/>
        <w:t>8. При недостаточной эффективности избранного препарата (в полной дозе) показан переход на другой препарат из этой же группы.</w:t>
      </w:r>
      <w:r w:rsidRPr="00B97A7C">
        <w:rPr>
          <w:rFonts w:ascii="Times New Roman" w:eastAsia="Times New Roman" w:hAnsi="Times New Roman" w:cs="Times New Roman"/>
          <w:sz w:val="28"/>
          <w:szCs w:val="28"/>
          <w:lang w:eastAsia="ru-RU"/>
        </w:rPr>
        <w:br/>
        <w:t>9. В случае плохой переносимости или наличия факторов риска поражения ЖКТ целесообразно назначение препаратов из группы селективных ингибиторов ЦОГ-2 (</w:t>
      </w:r>
      <w:proofErr w:type="spellStart"/>
      <w:r w:rsidRPr="00B97A7C">
        <w:rPr>
          <w:rFonts w:ascii="Times New Roman" w:eastAsia="Times New Roman" w:hAnsi="Times New Roman" w:cs="Times New Roman"/>
          <w:sz w:val="28"/>
          <w:szCs w:val="28"/>
          <w:lang w:eastAsia="ru-RU"/>
        </w:rPr>
        <w:t>целекоксиб</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мелоксикам</w:t>
      </w:r>
      <w:proofErr w:type="spellEnd"/>
      <w:r w:rsidRPr="00B97A7C">
        <w:rPr>
          <w:rFonts w:ascii="Times New Roman" w:eastAsia="Times New Roman" w:hAnsi="Times New Roman" w:cs="Times New Roman"/>
          <w:sz w:val="28"/>
          <w:szCs w:val="28"/>
          <w:lang w:eastAsia="ru-RU"/>
        </w:rPr>
        <w:t>)</w:t>
      </w:r>
      <w:r w:rsidRPr="00D85C55">
        <w:rPr>
          <w:rFonts w:ascii="Times New Roman" w:eastAsia="Times New Roman" w:hAnsi="Times New Roman" w:cs="Times New Roman"/>
          <w:b/>
          <w:bCs/>
          <w:sz w:val="28"/>
          <w:szCs w:val="28"/>
          <w:lang w:eastAsia="ru-RU"/>
        </w:rPr>
        <w:t>.</w:t>
      </w:r>
      <w:r w:rsidRPr="00B97A7C">
        <w:rPr>
          <w:rFonts w:ascii="Times New Roman" w:eastAsia="Times New Roman" w:hAnsi="Times New Roman" w:cs="Times New Roman"/>
          <w:sz w:val="28"/>
          <w:szCs w:val="28"/>
          <w:lang w:eastAsia="ru-RU"/>
        </w:rPr>
        <w:br/>
        <w:t>10. Предварительные результаты свидетельствуют о том, что постоянный длительный приём НПВП (</w:t>
      </w:r>
      <w:proofErr w:type="spellStart"/>
      <w:r w:rsidRPr="00B97A7C">
        <w:rPr>
          <w:rFonts w:ascii="Times New Roman" w:eastAsia="Times New Roman" w:hAnsi="Times New Roman" w:cs="Times New Roman"/>
          <w:sz w:val="28"/>
          <w:szCs w:val="28"/>
          <w:lang w:eastAsia="ru-RU"/>
        </w:rPr>
        <w:t>целекоксиб</w:t>
      </w:r>
      <w:proofErr w:type="spellEnd"/>
      <w:r w:rsidRPr="00B97A7C">
        <w:rPr>
          <w:rFonts w:ascii="Times New Roman" w:eastAsia="Times New Roman" w:hAnsi="Times New Roman" w:cs="Times New Roman"/>
          <w:sz w:val="28"/>
          <w:szCs w:val="28"/>
          <w:lang w:eastAsia="ru-RU"/>
        </w:rPr>
        <w:t>) замедляет прогрессирование поражения позвоночника при АС в большей степени, чем при назначении НПВП «по требованию».</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АНТИДЕПРЕССАНТЫ</w:t>
      </w:r>
      <w:r w:rsidRPr="00B97A7C">
        <w:rPr>
          <w:rFonts w:ascii="Times New Roman" w:eastAsia="Times New Roman" w:hAnsi="Times New Roman" w:cs="Times New Roman"/>
          <w:sz w:val="28"/>
          <w:szCs w:val="28"/>
          <w:lang w:eastAsia="ru-RU"/>
        </w:rPr>
        <w:br/>
        <w:t>При нарушении сна, обусловленного болевым синдромом, рекомендован амитриптилин (30 мг/сутки).</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ГЛЮКОКОРТИКОИДЫ</w:t>
      </w:r>
      <w:r w:rsidRPr="00B97A7C">
        <w:rPr>
          <w:rFonts w:ascii="Times New Roman" w:eastAsia="Times New Roman" w:hAnsi="Times New Roman" w:cs="Times New Roman"/>
          <w:sz w:val="28"/>
          <w:szCs w:val="28"/>
          <w:lang w:eastAsia="ru-RU"/>
        </w:rPr>
        <w:br/>
        <w:t xml:space="preserve">1. Локальное введение ГК используют при периферическом артрите и </w:t>
      </w:r>
      <w:proofErr w:type="spellStart"/>
      <w:r w:rsidRPr="00B97A7C">
        <w:rPr>
          <w:rFonts w:ascii="Times New Roman" w:eastAsia="Times New Roman" w:hAnsi="Times New Roman" w:cs="Times New Roman"/>
          <w:sz w:val="28"/>
          <w:szCs w:val="28"/>
          <w:lang w:eastAsia="ru-RU"/>
        </w:rPr>
        <w:t>энтезитах</w:t>
      </w:r>
      <w:proofErr w:type="spellEnd"/>
      <w:r w:rsidRPr="00B97A7C">
        <w:rPr>
          <w:rFonts w:ascii="Times New Roman" w:eastAsia="Times New Roman" w:hAnsi="Times New Roman" w:cs="Times New Roman"/>
          <w:sz w:val="28"/>
          <w:szCs w:val="28"/>
          <w:lang w:eastAsia="ru-RU"/>
        </w:rPr>
        <w:t xml:space="preserve">, </w:t>
      </w:r>
      <w:r w:rsidRPr="00B97A7C">
        <w:rPr>
          <w:rFonts w:ascii="Times New Roman" w:eastAsia="Times New Roman" w:hAnsi="Times New Roman" w:cs="Times New Roman"/>
          <w:sz w:val="28"/>
          <w:szCs w:val="28"/>
          <w:lang w:eastAsia="ru-RU"/>
        </w:rPr>
        <w:lastRenderedPageBreak/>
        <w:t>а также в область крестцово-подвздошных сочленений.</w:t>
      </w:r>
      <w:r w:rsidRPr="00B97A7C">
        <w:rPr>
          <w:rFonts w:ascii="Times New Roman" w:eastAsia="Times New Roman" w:hAnsi="Times New Roman" w:cs="Times New Roman"/>
          <w:sz w:val="28"/>
          <w:szCs w:val="28"/>
          <w:lang w:eastAsia="ru-RU"/>
        </w:rPr>
        <w:br/>
        <w:t xml:space="preserve">2. Системное применение ГК считают неэффективным (в отношении симптомов поражения позвоночника и артрита периферических суставов). Их кратковременное применение может быть показано только в случае таких системных проявлений АС, как высокая лихорадка и </w:t>
      </w:r>
      <w:proofErr w:type="spellStart"/>
      <w:r w:rsidRPr="00B97A7C">
        <w:rPr>
          <w:rFonts w:ascii="Times New Roman" w:eastAsia="Times New Roman" w:hAnsi="Times New Roman" w:cs="Times New Roman"/>
          <w:sz w:val="28"/>
          <w:szCs w:val="28"/>
          <w:lang w:eastAsia="ru-RU"/>
        </w:rPr>
        <w:t>увеит</w:t>
      </w:r>
      <w:proofErr w:type="spellEnd"/>
      <w:r w:rsidRPr="00B97A7C">
        <w:rPr>
          <w:rFonts w:ascii="Times New Roman" w:eastAsia="Times New Roman" w:hAnsi="Times New Roman" w:cs="Times New Roman"/>
          <w:sz w:val="28"/>
          <w:szCs w:val="28"/>
          <w:lang w:eastAsia="ru-RU"/>
        </w:rPr>
        <w:t xml:space="preserve"> (при отсутствии эффекта местной терапии) или при </w:t>
      </w:r>
      <w:proofErr w:type="spellStart"/>
      <w:r w:rsidRPr="00B97A7C">
        <w:rPr>
          <w:rFonts w:ascii="Times New Roman" w:eastAsia="Times New Roman" w:hAnsi="Times New Roman" w:cs="Times New Roman"/>
          <w:sz w:val="28"/>
          <w:szCs w:val="28"/>
          <w:lang w:eastAsia="ru-RU"/>
        </w:rPr>
        <w:t>IgA</w:t>
      </w:r>
      <w:proofErr w:type="spellEnd"/>
      <w:r w:rsidRPr="00B97A7C">
        <w:rPr>
          <w:rFonts w:ascii="Times New Roman" w:eastAsia="Times New Roman" w:hAnsi="Times New Roman" w:cs="Times New Roman"/>
          <w:sz w:val="28"/>
          <w:szCs w:val="28"/>
          <w:lang w:eastAsia="ru-RU"/>
        </w:rPr>
        <w:t>-нефропатии.</w:t>
      </w:r>
      <w:r w:rsidRPr="00B97A7C">
        <w:rPr>
          <w:rFonts w:ascii="Times New Roman" w:eastAsia="Times New Roman" w:hAnsi="Times New Roman" w:cs="Times New Roman"/>
          <w:sz w:val="28"/>
          <w:szCs w:val="28"/>
          <w:lang w:eastAsia="ru-RU"/>
        </w:rPr>
        <w:br/>
        <w:t xml:space="preserve">3. У больных с высокой активностью АС, выраженными болями в позвоночнике, плохо «отвечающими» на НПВП, может быть получен быстрый и выраженный эффект на фоне </w:t>
      </w:r>
      <w:proofErr w:type="spellStart"/>
      <w:r w:rsidRPr="00B97A7C">
        <w:rPr>
          <w:rFonts w:ascii="Times New Roman" w:eastAsia="Times New Roman" w:hAnsi="Times New Roman" w:cs="Times New Roman"/>
          <w:sz w:val="28"/>
          <w:szCs w:val="28"/>
          <w:lang w:eastAsia="ru-RU"/>
        </w:rPr>
        <w:t>пульстерапии</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метилпреднизолоном</w:t>
      </w:r>
      <w:proofErr w:type="spellEnd"/>
      <w:r w:rsidRPr="00B97A7C">
        <w:rPr>
          <w:rFonts w:ascii="Times New Roman" w:eastAsia="Times New Roman" w:hAnsi="Times New Roman" w:cs="Times New Roman"/>
          <w:sz w:val="28"/>
          <w:szCs w:val="28"/>
          <w:lang w:eastAsia="ru-RU"/>
        </w:rPr>
        <w:t xml:space="preserve"> (в/в введение 1000 мг в течение 3 последовательных дней). Переносимость этого метода лечения удовлетворительная, серьёзные побочные действия редки. Однако, как правило, эффект неустойчив, его длительность редко превышает 4 </w:t>
      </w:r>
      <w:proofErr w:type="spellStart"/>
      <w:r w:rsidRPr="00B97A7C">
        <w:rPr>
          <w:rFonts w:ascii="Times New Roman" w:eastAsia="Times New Roman" w:hAnsi="Times New Roman" w:cs="Times New Roman"/>
          <w:sz w:val="28"/>
          <w:szCs w:val="28"/>
          <w:lang w:eastAsia="ru-RU"/>
        </w:rPr>
        <w:t>нед</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xml:space="preserve">4. При развитии острого переднего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 xml:space="preserve"> должно проводиться безотлагательное местное лечение ГК и средствами, расширяющими зрачок (под контролем окулиста).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СУЛЬФАСАЛАЗИН</w:t>
      </w:r>
      <w:r w:rsidRPr="00B97A7C">
        <w:rPr>
          <w:rFonts w:ascii="Times New Roman" w:eastAsia="Times New Roman" w:hAnsi="Times New Roman" w:cs="Times New Roman"/>
          <w:sz w:val="28"/>
          <w:szCs w:val="28"/>
          <w:lang w:eastAsia="ru-RU"/>
        </w:rPr>
        <w:br/>
        <w:t xml:space="preserve">1. Показан при недостаточной эффективности симптоматической терапии и стойком сохранении высокой активности заболевания (особенно при наличии упорного воспаления периферических суставов и </w:t>
      </w:r>
      <w:proofErr w:type="spellStart"/>
      <w:r w:rsidRPr="00B97A7C">
        <w:rPr>
          <w:rFonts w:ascii="Times New Roman" w:eastAsia="Times New Roman" w:hAnsi="Times New Roman" w:cs="Times New Roman"/>
          <w:sz w:val="28"/>
          <w:szCs w:val="28"/>
          <w:lang w:eastAsia="ru-RU"/>
        </w:rPr>
        <w:t>энтезисов</w:t>
      </w:r>
      <w:proofErr w:type="spellEnd"/>
      <w:r w:rsidRPr="00B97A7C">
        <w:rPr>
          <w:rFonts w:ascii="Times New Roman" w:eastAsia="Times New Roman" w:hAnsi="Times New Roman" w:cs="Times New Roman"/>
          <w:sz w:val="28"/>
          <w:szCs w:val="28"/>
          <w:lang w:eastAsia="ru-RU"/>
        </w:rPr>
        <w:t xml:space="preserve">). По данным мета-анализа 5 двойных слепых, плацебо-контролируемых исследований, </w:t>
      </w:r>
      <w:proofErr w:type="spellStart"/>
      <w:r w:rsidRPr="00B97A7C">
        <w:rPr>
          <w:rFonts w:ascii="Times New Roman" w:eastAsia="Times New Roman" w:hAnsi="Times New Roman" w:cs="Times New Roman"/>
          <w:sz w:val="28"/>
          <w:szCs w:val="28"/>
          <w:lang w:eastAsia="ru-RU"/>
        </w:rPr>
        <w:t>сульфасалазин</w:t>
      </w:r>
      <w:proofErr w:type="spellEnd"/>
      <w:r w:rsidRPr="00B97A7C">
        <w:rPr>
          <w:rFonts w:ascii="Times New Roman" w:eastAsia="Times New Roman" w:hAnsi="Times New Roman" w:cs="Times New Roman"/>
          <w:sz w:val="28"/>
          <w:szCs w:val="28"/>
          <w:lang w:eastAsia="ru-RU"/>
        </w:rPr>
        <w:t xml:space="preserve"> достоверно превосходит плацебо по влиянию на такие показатели, как боль, скованность, общее самочувствие, величина СОЭ и </w:t>
      </w:r>
      <w:proofErr w:type="spellStart"/>
      <w:r w:rsidRPr="00B97A7C">
        <w:rPr>
          <w:rFonts w:ascii="Times New Roman" w:eastAsia="Times New Roman" w:hAnsi="Times New Roman" w:cs="Times New Roman"/>
          <w:sz w:val="28"/>
          <w:szCs w:val="28"/>
          <w:lang w:eastAsia="ru-RU"/>
        </w:rPr>
        <w:t>IgA</w:t>
      </w:r>
      <w:proofErr w:type="spellEnd"/>
      <w:r w:rsidRPr="00B97A7C">
        <w:rPr>
          <w:rFonts w:ascii="Times New Roman" w:eastAsia="Times New Roman" w:hAnsi="Times New Roman" w:cs="Times New Roman"/>
          <w:sz w:val="28"/>
          <w:szCs w:val="28"/>
          <w:lang w:eastAsia="ru-RU"/>
        </w:rPr>
        <w:t>, но не оказывает суще</w:t>
      </w:r>
      <w:r w:rsidRPr="00B97A7C">
        <w:rPr>
          <w:rFonts w:ascii="Times New Roman" w:eastAsia="Times New Roman" w:hAnsi="Times New Roman" w:cs="Times New Roman"/>
          <w:sz w:val="28"/>
          <w:szCs w:val="28"/>
          <w:lang w:eastAsia="ru-RU"/>
        </w:rPr>
        <w:softHyphen/>
        <w:t>ственного влияния на функцию позвоночника.</w:t>
      </w:r>
      <w:r w:rsidRPr="00B97A7C">
        <w:rPr>
          <w:rFonts w:ascii="Times New Roman" w:eastAsia="Times New Roman" w:hAnsi="Times New Roman" w:cs="Times New Roman"/>
          <w:sz w:val="28"/>
          <w:szCs w:val="28"/>
          <w:lang w:eastAsia="ru-RU"/>
        </w:rPr>
        <w:br/>
        <w:t>2. Применяют в суточной дозе 2</w:t>
      </w:r>
      <w:r w:rsidRPr="00D85C55">
        <w:rPr>
          <w:rFonts w:ascii="Times New Roman" w:eastAsia="Times New Roman" w:hAnsi="Times New Roman" w:cs="Times New Roman"/>
          <w:b/>
          <w:bCs/>
          <w:sz w:val="28"/>
          <w:szCs w:val="28"/>
          <w:lang w:eastAsia="ru-RU"/>
        </w:rPr>
        <w:t>-</w:t>
      </w:r>
      <w:r w:rsidRPr="00B97A7C">
        <w:rPr>
          <w:rFonts w:ascii="Times New Roman" w:eastAsia="Times New Roman" w:hAnsi="Times New Roman" w:cs="Times New Roman"/>
          <w:sz w:val="28"/>
          <w:szCs w:val="28"/>
          <w:lang w:eastAsia="ru-RU"/>
        </w:rPr>
        <w:t xml:space="preserve">3 г в течение не менее 3-4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 при наличии эффекта лечение продолжают (в той же суточной дозе) длительно,</w:t>
      </w:r>
      <w:r w:rsidRPr="00B97A7C">
        <w:rPr>
          <w:rFonts w:ascii="Times New Roman" w:eastAsia="Times New Roman" w:hAnsi="Times New Roman" w:cs="Times New Roman"/>
          <w:sz w:val="28"/>
          <w:szCs w:val="28"/>
          <w:lang w:eastAsia="ru-RU"/>
        </w:rPr>
        <w:br/>
        <w:t xml:space="preserve">3. Эффективен в отношении часто рецидивирующего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 xml:space="preserve"> у больных спондилоартритами,</w:t>
      </w:r>
      <w:r w:rsidRPr="00B97A7C">
        <w:rPr>
          <w:rFonts w:ascii="Times New Roman" w:eastAsia="Times New Roman" w:hAnsi="Times New Roman" w:cs="Times New Roman"/>
          <w:sz w:val="28"/>
          <w:szCs w:val="28"/>
          <w:lang w:eastAsia="ru-RU"/>
        </w:rPr>
        <w:br/>
        <w:t xml:space="preserve">4. Производные 5-аминосалициловой кислоты менее эффективны, чем </w:t>
      </w:r>
      <w:proofErr w:type="spellStart"/>
      <w:r w:rsidRPr="00B97A7C">
        <w:rPr>
          <w:rFonts w:ascii="Times New Roman" w:eastAsia="Times New Roman" w:hAnsi="Times New Roman" w:cs="Times New Roman"/>
          <w:sz w:val="28"/>
          <w:szCs w:val="28"/>
          <w:lang w:eastAsia="ru-RU"/>
        </w:rPr>
        <w:t>сульфасалазин</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br/>
        <w:t>МЕТОТРЕКСАТ (10 мг/неделю)</w:t>
      </w:r>
      <w:r w:rsidRPr="00D85C55">
        <w:rPr>
          <w:rFonts w:ascii="Times New Roman" w:eastAsia="Times New Roman" w:hAnsi="Times New Roman" w:cs="Times New Roman"/>
          <w:b/>
          <w:bCs/>
          <w:sz w:val="28"/>
          <w:szCs w:val="28"/>
          <w:lang w:eastAsia="ru-RU"/>
        </w:rPr>
        <w:t>.</w:t>
      </w:r>
      <w:r w:rsidRPr="00B97A7C">
        <w:rPr>
          <w:rFonts w:ascii="Times New Roman" w:eastAsia="Times New Roman" w:hAnsi="Times New Roman" w:cs="Times New Roman"/>
          <w:sz w:val="28"/>
          <w:szCs w:val="28"/>
          <w:lang w:eastAsia="ru-RU"/>
        </w:rPr>
        <w:t> Данные противоречивы; подавляет симптомы периферического артрита, но не влияет на поражение позвоночника.</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 xml:space="preserve">ПАМИДРОНОВАЯ КИСЛОТА. Уменьшение выраженности </w:t>
      </w:r>
      <w:proofErr w:type="spellStart"/>
      <w:r w:rsidRPr="00B97A7C">
        <w:rPr>
          <w:rFonts w:ascii="Times New Roman" w:eastAsia="Times New Roman" w:hAnsi="Times New Roman" w:cs="Times New Roman"/>
          <w:sz w:val="28"/>
          <w:szCs w:val="28"/>
          <w:lang w:eastAsia="ru-RU"/>
        </w:rPr>
        <w:t>вертебрального</w:t>
      </w:r>
      <w:proofErr w:type="spellEnd"/>
      <w:r w:rsidRPr="00B97A7C">
        <w:rPr>
          <w:rFonts w:ascii="Times New Roman" w:eastAsia="Times New Roman" w:hAnsi="Times New Roman" w:cs="Times New Roman"/>
          <w:sz w:val="28"/>
          <w:szCs w:val="28"/>
          <w:lang w:eastAsia="ru-RU"/>
        </w:rPr>
        <w:t xml:space="preserve"> болевого синдрома. Курс лечения включает два ввода (суммарная курсовая доза 60 мг), который необходимо повторять каждые 3 </w:t>
      </w:r>
      <w:proofErr w:type="spellStart"/>
      <w:r w:rsidRPr="00B97A7C">
        <w:rPr>
          <w:rFonts w:ascii="Times New Roman" w:eastAsia="Times New Roman" w:hAnsi="Times New Roman" w:cs="Times New Roman"/>
          <w:sz w:val="28"/>
          <w:szCs w:val="28"/>
          <w:lang w:eastAsia="ru-RU"/>
        </w:rPr>
        <w:t>мес</w:t>
      </w:r>
      <w:proofErr w:type="spellEnd"/>
      <w:r w:rsidRPr="00B97A7C">
        <w:rPr>
          <w:rFonts w:ascii="Times New Roman" w:eastAsia="Times New Roman" w:hAnsi="Times New Roman" w:cs="Times New Roman"/>
          <w:sz w:val="28"/>
          <w:szCs w:val="28"/>
          <w:lang w:eastAsia="ru-RU"/>
        </w:rPr>
        <w:t xml:space="preserve"> в течение года (4 курса в год) на фоне постоянного приема препаратов кальция и вит. D</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ЭТАНЕРЦЕПТ</w:t>
      </w:r>
      <w:r w:rsidRPr="00B97A7C">
        <w:rPr>
          <w:rFonts w:ascii="Times New Roman" w:eastAsia="Times New Roman" w:hAnsi="Times New Roman" w:cs="Times New Roman"/>
          <w:sz w:val="28"/>
          <w:szCs w:val="28"/>
          <w:lang w:eastAsia="ru-RU"/>
        </w:rPr>
        <w:br/>
        <w:t xml:space="preserve">1. Показан для лечения взрослых с тяжелым активным </w:t>
      </w:r>
      <w:proofErr w:type="spellStart"/>
      <w:r w:rsidRPr="00B97A7C">
        <w:rPr>
          <w:rFonts w:ascii="Times New Roman" w:eastAsia="Times New Roman" w:hAnsi="Times New Roman" w:cs="Times New Roman"/>
          <w:sz w:val="28"/>
          <w:szCs w:val="28"/>
          <w:lang w:eastAsia="ru-RU"/>
        </w:rPr>
        <w:t>анкилозирующим</w:t>
      </w:r>
      <w:proofErr w:type="spellEnd"/>
      <w:r w:rsidRPr="00B97A7C">
        <w:rPr>
          <w:rFonts w:ascii="Times New Roman" w:eastAsia="Times New Roman" w:hAnsi="Times New Roman" w:cs="Times New Roman"/>
          <w:sz w:val="28"/>
          <w:szCs w:val="28"/>
          <w:lang w:eastAsia="ru-RU"/>
        </w:rPr>
        <w:t xml:space="preserve"> спондилитом, у которых традиционная терапия не привела к существенному улучшению.</w:t>
      </w:r>
      <w:r w:rsidRPr="00B97A7C">
        <w:rPr>
          <w:rFonts w:ascii="Times New Roman" w:eastAsia="Times New Roman" w:hAnsi="Times New Roman" w:cs="Times New Roman"/>
          <w:sz w:val="28"/>
          <w:szCs w:val="28"/>
          <w:lang w:eastAsia="ru-RU"/>
        </w:rPr>
        <w:br/>
        <w:t>2. Способ применения и дозы – подкожно.</w:t>
      </w:r>
      <w:r w:rsidRPr="00B97A7C">
        <w:rPr>
          <w:rFonts w:ascii="Times New Roman" w:eastAsia="Times New Roman" w:hAnsi="Times New Roman" w:cs="Times New Roman"/>
          <w:sz w:val="28"/>
          <w:szCs w:val="28"/>
          <w:lang w:eastAsia="ru-RU"/>
        </w:rPr>
        <w:br/>
        <w:t xml:space="preserve">3. Лечение </w:t>
      </w:r>
      <w:proofErr w:type="spellStart"/>
      <w:r w:rsidRPr="00B97A7C">
        <w:rPr>
          <w:rFonts w:ascii="Times New Roman" w:eastAsia="Times New Roman" w:hAnsi="Times New Roman" w:cs="Times New Roman"/>
          <w:sz w:val="28"/>
          <w:szCs w:val="28"/>
          <w:lang w:eastAsia="ru-RU"/>
        </w:rPr>
        <w:t>этанерцептом</w:t>
      </w:r>
      <w:proofErr w:type="spellEnd"/>
      <w:r w:rsidRPr="00B97A7C">
        <w:rPr>
          <w:rFonts w:ascii="Times New Roman" w:eastAsia="Times New Roman" w:hAnsi="Times New Roman" w:cs="Times New Roman"/>
          <w:sz w:val="28"/>
          <w:szCs w:val="28"/>
          <w:lang w:eastAsia="ru-RU"/>
        </w:rPr>
        <w:t xml:space="preserve"> должно назначаться и контролироваться врачом, имеющим опыт в диагностике и лечении </w:t>
      </w:r>
      <w:proofErr w:type="spellStart"/>
      <w:r w:rsidRPr="00B97A7C">
        <w:rPr>
          <w:rFonts w:ascii="Times New Roman" w:eastAsia="Times New Roman" w:hAnsi="Times New Roman" w:cs="Times New Roman"/>
          <w:sz w:val="28"/>
          <w:szCs w:val="28"/>
          <w:lang w:eastAsia="ru-RU"/>
        </w:rPr>
        <w:t>анкилозирующего</w:t>
      </w:r>
      <w:proofErr w:type="spellEnd"/>
      <w:r w:rsidRPr="00B97A7C">
        <w:rPr>
          <w:rFonts w:ascii="Times New Roman" w:eastAsia="Times New Roman" w:hAnsi="Times New Roman" w:cs="Times New Roman"/>
          <w:sz w:val="28"/>
          <w:szCs w:val="28"/>
          <w:lang w:eastAsia="ru-RU"/>
        </w:rPr>
        <w:t xml:space="preserve"> спондилита.</w:t>
      </w:r>
      <w:r w:rsidRPr="00B97A7C">
        <w:rPr>
          <w:rFonts w:ascii="Times New Roman" w:eastAsia="Times New Roman" w:hAnsi="Times New Roman" w:cs="Times New Roman"/>
          <w:sz w:val="28"/>
          <w:szCs w:val="28"/>
          <w:lang w:eastAsia="ru-RU"/>
        </w:rPr>
        <w:br/>
        <w:t xml:space="preserve">4. </w:t>
      </w:r>
      <w:proofErr w:type="spellStart"/>
      <w:r w:rsidRPr="00B97A7C">
        <w:rPr>
          <w:rFonts w:ascii="Times New Roman" w:eastAsia="Times New Roman" w:hAnsi="Times New Roman" w:cs="Times New Roman"/>
          <w:sz w:val="28"/>
          <w:szCs w:val="28"/>
          <w:lang w:eastAsia="ru-RU"/>
        </w:rPr>
        <w:t>Этанерцепт</w:t>
      </w:r>
      <w:proofErr w:type="spellEnd"/>
      <w:r w:rsidRPr="00B97A7C">
        <w:rPr>
          <w:rFonts w:ascii="Times New Roman" w:eastAsia="Times New Roman" w:hAnsi="Times New Roman" w:cs="Times New Roman"/>
          <w:sz w:val="28"/>
          <w:szCs w:val="28"/>
          <w:lang w:eastAsia="ru-RU"/>
        </w:rPr>
        <w:t xml:space="preserve"> в виде готового раствора используется для пациентов, имеющих массу тела более 62,5 кг. У пациентов с массой тела менее 62,5 кг следует использовать </w:t>
      </w:r>
      <w:proofErr w:type="spellStart"/>
      <w:r w:rsidRPr="00B97A7C">
        <w:rPr>
          <w:rFonts w:ascii="Times New Roman" w:eastAsia="Times New Roman" w:hAnsi="Times New Roman" w:cs="Times New Roman"/>
          <w:sz w:val="28"/>
          <w:szCs w:val="28"/>
          <w:lang w:eastAsia="ru-RU"/>
        </w:rPr>
        <w:t>лиофилизат</w:t>
      </w:r>
      <w:proofErr w:type="spellEnd"/>
      <w:r w:rsidRPr="00B97A7C">
        <w:rPr>
          <w:rFonts w:ascii="Times New Roman" w:eastAsia="Times New Roman" w:hAnsi="Times New Roman" w:cs="Times New Roman"/>
          <w:sz w:val="28"/>
          <w:szCs w:val="28"/>
          <w:lang w:eastAsia="ru-RU"/>
        </w:rPr>
        <w:t xml:space="preserve"> для приготовления раствора.</w:t>
      </w:r>
      <w:r w:rsidRPr="00B97A7C">
        <w:rPr>
          <w:rFonts w:ascii="Times New Roman" w:eastAsia="Times New Roman" w:hAnsi="Times New Roman" w:cs="Times New Roman"/>
          <w:sz w:val="28"/>
          <w:szCs w:val="28"/>
          <w:lang w:eastAsia="ru-RU"/>
        </w:rPr>
        <w:br/>
        <w:t xml:space="preserve">5. Рекомендуемая доза - 25 мг </w:t>
      </w:r>
      <w:proofErr w:type="spellStart"/>
      <w:r w:rsidRPr="00B97A7C">
        <w:rPr>
          <w:rFonts w:ascii="Times New Roman" w:eastAsia="Times New Roman" w:hAnsi="Times New Roman" w:cs="Times New Roman"/>
          <w:sz w:val="28"/>
          <w:szCs w:val="28"/>
          <w:lang w:eastAsia="ru-RU"/>
        </w:rPr>
        <w:t>этанерцепта</w:t>
      </w:r>
      <w:proofErr w:type="spellEnd"/>
      <w:r w:rsidRPr="00B97A7C">
        <w:rPr>
          <w:rFonts w:ascii="Times New Roman" w:eastAsia="Times New Roman" w:hAnsi="Times New Roman" w:cs="Times New Roman"/>
          <w:sz w:val="28"/>
          <w:szCs w:val="28"/>
          <w:lang w:eastAsia="ru-RU"/>
        </w:rPr>
        <w:t xml:space="preserve"> дважды в неделю или 50 мг один раз в неделю.</w:t>
      </w:r>
      <w:r w:rsidRPr="00B97A7C">
        <w:rPr>
          <w:rFonts w:ascii="Times New Roman" w:eastAsia="Times New Roman" w:hAnsi="Times New Roman" w:cs="Times New Roman"/>
          <w:sz w:val="28"/>
          <w:szCs w:val="28"/>
          <w:lang w:eastAsia="ru-RU"/>
        </w:rPr>
        <w:br/>
        <w:t xml:space="preserve">6. Терапию </w:t>
      </w:r>
      <w:proofErr w:type="spellStart"/>
      <w:r w:rsidRPr="00B97A7C">
        <w:rPr>
          <w:rFonts w:ascii="Times New Roman" w:eastAsia="Times New Roman" w:hAnsi="Times New Roman" w:cs="Times New Roman"/>
          <w:sz w:val="28"/>
          <w:szCs w:val="28"/>
          <w:lang w:eastAsia="ru-RU"/>
        </w:rPr>
        <w:t>этанерцептом</w:t>
      </w:r>
      <w:proofErr w:type="spellEnd"/>
      <w:r w:rsidRPr="00B97A7C">
        <w:rPr>
          <w:rFonts w:ascii="Times New Roman" w:eastAsia="Times New Roman" w:hAnsi="Times New Roman" w:cs="Times New Roman"/>
          <w:sz w:val="28"/>
          <w:szCs w:val="28"/>
          <w:lang w:eastAsia="ru-RU"/>
        </w:rPr>
        <w:t xml:space="preserve"> следует проводить до тех пор, пока не будет достигнута ремиссия, как правило, не более 24 недель. Введение препарата следует прекратить, если после 12 недель лечения не наблюдается положительной динамики симптомов.</w:t>
      </w:r>
      <w:r w:rsidRPr="00B97A7C">
        <w:rPr>
          <w:rFonts w:ascii="Times New Roman" w:eastAsia="Times New Roman" w:hAnsi="Times New Roman" w:cs="Times New Roman"/>
          <w:sz w:val="28"/>
          <w:szCs w:val="28"/>
          <w:lang w:eastAsia="ru-RU"/>
        </w:rPr>
        <w:br/>
        <w:t xml:space="preserve">7. При необходимости повторного назначения </w:t>
      </w:r>
      <w:proofErr w:type="spellStart"/>
      <w:r w:rsidRPr="00B97A7C">
        <w:rPr>
          <w:rFonts w:ascii="Times New Roman" w:eastAsia="Times New Roman" w:hAnsi="Times New Roman" w:cs="Times New Roman"/>
          <w:sz w:val="28"/>
          <w:szCs w:val="28"/>
          <w:lang w:eastAsia="ru-RU"/>
        </w:rPr>
        <w:t>этанерцепта</w:t>
      </w:r>
      <w:proofErr w:type="spellEnd"/>
      <w:r w:rsidRPr="00B97A7C">
        <w:rPr>
          <w:rFonts w:ascii="Times New Roman" w:eastAsia="Times New Roman" w:hAnsi="Times New Roman" w:cs="Times New Roman"/>
          <w:sz w:val="28"/>
          <w:szCs w:val="28"/>
          <w:lang w:eastAsia="ru-RU"/>
        </w:rPr>
        <w:t>, следует соблюдать длительность лечения, указанную выше. Рекомендуется назначать дозу 25 мг дважды в неделю или 50 мг один раз в неделю.</w:t>
      </w:r>
      <w:r w:rsidRPr="00B97A7C">
        <w:rPr>
          <w:rFonts w:ascii="Times New Roman" w:eastAsia="Times New Roman" w:hAnsi="Times New Roman" w:cs="Times New Roman"/>
          <w:sz w:val="28"/>
          <w:szCs w:val="28"/>
          <w:lang w:eastAsia="ru-RU"/>
        </w:rPr>
        <w:br/>
        <w:t>8. Длительность терапии у некоторых больных может превышать 24 недели.</w:t>
      </w:r>
      <w:r w:rsidRPr="00B97A7C">
        <w:rPr>
          <w:rFonts w:ascii="Times New Roman" w:eastAsia="Times New Roman" w:hAnsi="Times New Roman" w:cs="Times New Roman"/>
          <w:sz w:val="28"/>
          <w:szCs w:val="28"/>
          <w:lang w:eastAsia="ru-RU"/>
        </w:rPr>
        <w:br/>
        <w:t>9. Пожилые пациенты (65 лет и старше</w:t>
      </w:r>
      <w:r w:rsidRPr="00D85C55">
        <w:rPr>
          <w:rFonts w:ascii="Times New Roman" w:eastAsia="Times New Roman" w:hAnsi="Times New Roman" w:cs="Times New Roman"/>
          <w:i/>
          <w:iCs/>
          <w:sz w:val="28"/>
          <w:szCs w:val="28"/>
          <w:lang w:eastAsia="ru-RU"/>
        </w:rPr>
        <w:t>) </w:t>
      </w:r>
      <w:r w:rsidRPr="00B97A7C">
        <w:rPr>
          <w:rFonts w:ascii="Times New Roman" w:eastAsia="Times New Roman" w:hAnsi="Times New Roman" w:cs="Times New Roman"/>
          <w:sz w:val="28"/>
          <w:szCs w:val="28"/>
          <w:lang w:eastAsia="ru-RU"/>
        </w:rPr>
        <w:t xml:space="preserve">Нет необходимости корректировать ни </w:t>
      </w:r>
      <w:r w:rsidRPr="00B97A7C">
        <w:rPr>
          <w:rFonts w:ascii="Times New Roman" w:eastAsia="Times New Roman" w:hAnsi="Times New Roman" w:cs="Times New Roman"/>
          <w:sz w:val="28"/>
          <w:szCs w:val="28"/>
          <w:lang w:eastAsia="ru-RU"/>
        </w:rPr>
        <w:lastRenderedPageBreak/>
        <w:t>дозу, ни способ применения.</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ИНФЛИКСИМАБ</w:t>
      </w:r>
      <w:r w:rsidRPr="00B97A7C">
        <w:rPr>
          <w:rFonts w:ascii="Times New Roman" w:eastAsia="Times New Roman" w:hAnsi="Times New Roman" w:cs="Times New Roman"/>
          <w:sz w:val="28"/>
          <w:szCs w:val="28"/>
          <w:lang w:eastAsia="ru-RU"/>
        </w:rPr>
        <w:br/>
        <w:t xml:space="preserve">1. Эффективность доказана в нескольких открытых и </w:t>
      </w:r>
      <w:proofErr w:type="spellStart"/>
      <w:r w:rsidRPr="00B97A7C">
        <w:rPr>
          <w:rFonts w:ascii="Times New Roman" w:eastAsia="Times New Roman" w:hAnsi="Times New Roman" w:cs="Times New Roman"/>
          <w:sz w:val="28"/>
          <w:szCs w:val="28"/>
          <w:lang w:eastAsia="ru-RU"/>
        </w:rPr>
        <w:t>рандомизированных</w:t>
      </w:r>
      <w:proofErr w:type="spellEnd"/>
      <w:r w:rsidRPr="00B97A7C">
        <w:rPr>
          <w:rFonts w:ascii="Times New Roman" w:eastAsia="Times New Roman" w:hAnsi="Times New Roman" w:cs="Times New Roman"/>
          <w:sz w:val="28"/>
          <w:szCs w:val="28"/>
          <w:lang w:eastAsia="ru-RU"/>
        </w:rPr>
        <w:t xml:space="preserve"> плацебо-контролируемых исследованиях у пациентов с тяжёлым течением заболевания и высокой активностью, несмотря на применение НПВП, ГК, а в некоторых случаях также </w:t>
      </w:r>
      <w:proofErr w:type="spellStart"/>
      <w:r w:rsidRPr="00B97A7C">
        <w:rPr>
          <w:rFonts w:ascii="Times New Roman" w:eastAsia="Times New Roman" w:hAnsi="Times New Roman" w:cs="Times New Roman"/>
          <w:sz w:val="28"/>
          <w:szCs w:val="28"/>
          <w:lang w:eastAsia="ru-RU"/>
        </w:rPr>
        <w:t>метотрексата</w:t>
      </w:r>
      <w:proofErr w:type="spellEnd"/>
      <w:r w:rsidRPr="00B97A7C">
        <w:rPr>
          <w:rFonts w:ascii="Times New Roman" w:eastAsia="Times New Roman" w:hAnsi="Times New Roman" w:cs="Times New Roman"/>
          <w:sz w:val="28"/>
          <w:szCs w:val="28"/>
          <w:lang w:eastAsia="ru-RU"/>
        </w:rPr>
        <w:t xml:space="preserve"> и </w:t>
      </w:r>
      <w:proofErr w:type="spellStart"/>
      <w:r w:rsidRPr="00B97A7C">
        <w:rPr>
          <w:rFonts w:ascii="Times New Roman" w:eastAsia="Times New Roman" w:hAnsi="Times New Roman" w:cs="Times New Roman"/>
          <w:sz w:val="28"/>
          <w:szCs w:val="28"/>
          <w:lang w:eastAsia="ru-RU"/>
        </w:rPr>
        <w:t>сульфасалазина</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2. При отсутствии противопоказаний для назначения ингибиторов ФНО-α, их следует назначать больным с установленным диагнозом АС (согласно российской  версии модифицированных Нью-Йоркских критериев АС) в следующих случаях:</w:t>
      </w:r>
      <w:r w:rsidRPr="00B97A7C">
        <w:rPr>
          <w:rFonts w:ascii="Times New Roman" w:eastAsia="Times New Roman" w:hAnsi="Times New Roman" w:cs="Times New Roman"/>
          <w:sz w:val="28"/>
          <w:szCs w:val="28"/>
          <w:lang w:eastAsia="ru-RU"/>
        </w:rPr>
        <w:br/>
        <w:t>- Имеющим высокую активность болезни (BASDAI&gt; 4 или ASDAS&gt;  2,1) и при наличии неэффективности (непереносимости) двух предшествующих НПВП, назначенных последовательно в полной терапевтической дозе с длительностью применения не менее 2-х недель каждый;</w:t>
      </w:r>
      <w:r w:rsidRPr="00B97A7C">
        <w:rPr>
          <w:rFonts w:ascii="Times New Roman" w:eastAsia="Times New Roman" w:hAnsi="Times New Roman" w:cs="Times New Roman"/>
          <w:sz w:val="28"/>
          <w:szCs w:val="28"/>
          <w:lang w:eastAsia="ru-RU"/>
        </w:rPr>
        <w:br/>
        <w:t xml:space="preserve">- При наличии у пациента с достоверным диагнозом АС рецидивирующего (или  резистентного к стандартной терапии)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 без учета активности болезни;</w:t>
      </w:r>
      <w:r w:rsidRPr="00B97A7C">
        <w:rPr>
          <w:rFonts w:ascii="Times New Roman" w:eastAsia="Times New Roman" w:hAnsi="Times New Roman" w:cs="Times New Roman"/>
          <w:sz w:val="28"/>
          <w:szCs w:val="28"/>
          <w:lang w:eastAsia="ru-RU"/>
        </w:rPr>
        <w:br/>
        <w:t>- При наличии у пациента с достоверным диагнозом АС коксита, без учета активности болезни.</w:t>
      </w:r>
      <w:r w:rsidRPr="00B97A7C">
        <w:rPr>
          <w:rFonts w:ascii="Times New Roman" w:eastAsia="Times New Roman" w:hAnsi="Times New Roman" w:cs="Times New Roman"/>
          <w:sz w:val="28"/>
          <w:szCs w:val="28"/>
          <w:lang w:eastAsia="ru-RU"/>
        </w:rPr>
        <w:br/>
        <w:t xml:space="preserve">- При наличии у пациента с достоверным диагнозом АС стойких периферических артритов и/или </w:t>
      </w:r>
      <w:proofErr w:type="spellStart"/>
      <w:r w:rsidRPr="00B97A7C">
        <w:rPr>
          <w:rFonts w:ascii="Times New Roman" w:eastAsia="Times New Roman" w:hAnsi="Times New Roman" w:cs="Times New Roman"/>
          <w:sz w:val="28"/>
          <w:szCs w:val="28"/>
          <w:lang w:eastAsia="ru-RU"/>
        </w:rPr>
        <w:t>энтезитов</w:t>
      </w:r>
      <w:proofErr w:type="spellEnd"/>
      <w:r w:rsidRPr="00B97A7C">
        <w:rPr>
          <w:rFonts w:ascii="Times New Roman" w:eastAsia="Times New Roman" w:hAnsi="Times New Roman" w:cs="Times New Roman"/>
          <w:sz w:val="28"/>
          <w:szCs w:val="28"/>
          <w:lang w:eastAsia="ru-RU"/>
        </w:rPr>
        <w:t xml:space="preserve"> и при наличии неэффективности (непереносимости) лечения </w:t>
      </w:r>
      <w:proofErr w:type="spellStart"/>
      <w:r w:rsidRPr="00B97A7C">
        <w:rPr>
          <w:rFonts w:ascii="Times New Roman" w:eastAsia="Times New Roman" w:hAnsi="Times New Roman" w:cs="Times New Roman"/>
          <w:sz w:val="28"/>
          <w:szCs w:val="28"/>
          <w:lang w:eastAsia="ru-RU"/>
        </w:rPr>
        <w:t>сульфасалазином</w:t>
      </w:r>
      <w:proofErr w:type="spellEnd"/>
      <w:r w:rsidRPr="00B97A7C">
        <w:rPr>
          <w:rFonts w:ascii="Times New Roman" w:eastAsia="Times New Roman" w:hAnsi="Times New Roman" w:cs="Times New Roman"/>
          <w:sz w:val="28"/>
          <w:szCs w:val="28"/>
          <w:lang w:eastAsia="ru-RU"/>
        </w:rPr>
        <w:t xml:space="preserve"> в дозе не менее 2-3гр в течение не менее чем 3-х месяцев и внутрисуставных инъекций ГК (не менее 2-х).Применяется в дозе 5 мг/кг, реже 3 мг/кг по стандартной схеме.</w:t>
      </w:r>
      <w:r w:rsidRPr="00B97A7C">
        <w:rPr>
          <w:rFonts w:ascii="Times New Roman" w:eastAsia="Times New Roman" w:hAnsi="Times New Roman" w:cs="Times New Roman"/>
          <w:sz w:val="28"/>
          <w:szCs w:val="28"/>
          <w:lang w:eastAsia="ru-RU"/>
        </w:rPr>
        <w:br/>
        <w:t>У подавляющего большинства пациен</w:t>
      </w:r>
      <w:r w:rsidRPr="00B97A7C">
        <w:rPr>
          <w:rFonts w:ascii="Times New Roman" w:eastAsia="Times New Roman" w:hAnsi="Times New Roman" w:cs="Times New Roman"/>
          <w:sz w:val="28"/>
          <w:szCs w:val="28"/>
          <w:lang w:eastAsia="ru-RU"/>
        </w:rPr>
        <w:softHyphen/>
        <w:t xml:space="preserve">тов наблюдался очень быстрый клинический эффект (часто уже на следующий день после первой </w:t>
      </w:r>
      <w:proofErr w:type="spellStart"/>
      <w:r w:rsidRPr="00B97A7C">
        <w:rPr>
          <w:rFonts w:ascii="Times New Roman" w:eastAsia="Times New Roman" w:hAnsi="Times New Roman" w:cs="Times New Roman"/>
          <w:sz w:val="28"/>
          <w:szCs w:val="28"/>
          <w:lang w:eastAsia="ru-RU"/>
        </w:rPr>
        <w:t>инфузии</w:t>
      </w:r>
      <w:proofErr w:type="spellEnd"/>
      <w:r w:rsidRPr="00B97A7C">
        <w:rPr>
          <w:rFonts w:ascii="Times New Roman" w:eastAsia="Times New Roman" w:hAnsi="Times New Roman" w:cs="Times New Roman"/>
          <w:sz w:val="28"/>
          <w:szCs w:val="28"/>
          <w:lang w:eastAsia="ru-RU"/>
        </w:rPr>
        <w:t>), который сохранялся по крайней мере в течение года на фоне поддерживающей терапии.</w:t>
      </w:r>
      <w:r w:rsidRPr="00B97A7C">
        <w:rPr>
          <w:rFonts w:ascii="Times New Roman" w:eastAsia="Times New Roman" w:hAnsi="Times New Roman" w:cs="Times New Roman"/>
          <w:sz w:val="28"/>
          <w:szCs w:val="28"/>
          <w:lang w:eastAsia="ru-RU"/>
        </w:rPr>
        <w:br/>
        <w:t xml:space="preserve">Отмечено достоверное уменьшение болей в спине, недомогания, утренней </w:t>
      </w:r>
      <w:r w:rsidRPr="00B97A7C">
        <w:rPr>
          <w:rFonts w:ascii="Times New Roman" w:eastAsia="Times New Roman" w:hAnsi="Times New Roman" w:cs="Times New Roman"/>
          <w:sz w:val="28"/>
          <w:szCs w:val="28"/>
          <w:lang w:eastAsia="ru-RU"/>
        </w:rPr>
        <w:lastRenderedPageBreak/>
        <w:t xml:space="preserve">скованности, исчезновение артрита периферических суставов, снижение </w:t>
      </w:r>
      <w:proofErr w:type="spellStart"/>
      <w:r w:rsidRPr="00B97A7C">
        <w:rPr>
          <w:rFonts w:ascii="Times New Roman" w:eastAsia="Times New Roman" w:hAnsi="Times New Roman" w:cs="Times New Roman"/>
          <w:sz w:val="28"/>
          <w:szCs w:val="28"/>
          <w:lang w:eastAsia="ru-RU"/>
        </w:rPr>
        <w:t>острофазовых</w:t>
      </w:r>
      <w:proofErr w:type="spellEnd"/>
      <w:r w:rsidRPr="00B97A7C">
        <w:rPr>
          <w:rFonts w:ascii="Times New Roman" w:eastAsia="Times New Roman" w:hAnsi="Times New Roman" w:cs="Times New Roman"/>
          <w:sz w:val="28"/>
          <w:szCs w:val="28"/>
          <w:lang w:eastAsia="ru-RU"/>
        </w:rPr>
        <w:t xml:space="preserve"> показателей и улучшение параметров, отражающих качество жизни.</w:t>
      </w:r>
      <w:r w:rsidRPr="00B97A7C">
        <w:rPr>
          <w:rFonts w:ascii="Times New Roman" w:eastAsia="Times New Roman" w:hAnsi="Times New Roman" w:cs="Times New Roman"/>
          <w:sz w:val="28"/>
          <w:szCs w:val="28"/>
          <w:lang w:eastAsia="ru-RU"/>
        </w:rPr>
        <w:br/>
        <w:t xml:space="preserve">В целом лечение оказалось эффективным примерно в 80% случаев, особенно у пациентов с выраженным увеличением </w:t>
      </w:r>
      <w:proofErr w:type="spellStart"/>
      <w:r w:rsidRPr="00B97A7C">
        <w:rPr>
          <w:rFonts w:ascii="Times New Roman" w:eastAsia="Times New Roman" w:hAnsi="Times New Roman" w:cs="Times New Roman"/>
          <w:sz w:val="28"/>
          <w:szCs w:val="28"/>
          <w:lang w:eastAsia="ru-RU"/>
        </w:rPr>
        <w:t>острофазовых</w:t>
      </w:r>
      <w:proofErr w:type="spellEnd"/>
      <w:r w:rsidRPr="00B97A7C">
        <w:rPr>
          <w:rFonts w:ascii="Times New Roman" w:eastAsia="Times New Roman" w:hAnsi="Times New Roman" w:cs="Times New Roman"/>
          <w:sz w:val="28"/>
          <w:szCs w:val="28"/>
          <w:lang w:eastAsia="ru-RU"/>
        </w:rPr>
        <w:t xml:space="preserve"> показателей (СОЭ и СРБ).</w:t>
      </w:r>
      <w:r w:rsidRPr="00B97A7C">
        <w:rPr>
          <w:rFonts w:ascii="Times New Roman" w:eastAsia="Times New Roman" w:hAnsi="Times New Roman" w:cs="Times New Roman"/>
          <w:sz w:val="28"/>
          <w:szCs w:val="28"/>
          <w:lang w:eastAsia="ru-RU"/>
        </w:rPr>
        <w:br/>
        <w:t>Примерно у половины пациентов удалось достигнуть стойкой ремиссии.</w:t>
      </w:r>
      <w:r w:rsidRPr="00B97A7C">
        <w:rPr>
          <w:rFonts w:ascii="Times New Roman" w:eastAsia="Times New Roman" w:hAnsi="Times New Roman" w:cs="Times New Roman"/>
          <w:sz w:val="28"/>
          <w:szCs w:val="28"/>
          <w:lang w:eastAsia="ru-RU"/>
        </w:rPr>
        <w:br/>
        <w:t xml:space="preserve">«Ответ» на </w:t>
      </w:r>
      <w:proofErr w:type="spellStart"/>
      <w:r w:rsidRPr="00B97A7C">
        <w:rPr>
          <w:rFonts w:ascii="Times New Roman" w:eastAsia="Times New Roman" w:hAnsi="Times New Roman" w:cs="Times New Roman"/>
          <w:sz w:val="28"/>
          <w:szCs w:val="28"/>
          <w:lang w:eastAsia="ru-RU"/>
        </w:rPr>
        <w:t>инфузиии</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нфликсимаба</w:t>
      </w:r>
      <w:proofErr w:type="spellEnd"/>
      <w:r w:rsidRPr="00B97A7C">
        <w:rPr>
          <w:rFonts w:ascii="Times New Roman" w:eastAsia="Times New Roman" w:hAnsi="Times New Roman" w:cs="Times New Roman"/>
          <w:sz w:val="28"/>
          <w:szCs w:val="28"/>
          <w:lang w:eastAsia="ru-RU"/>
        </w:rPr>
        <w:t xml:space="preserve"> был хуже при большой длительности заболевания и тяжёлом поражении позвоночника. Позволяет контролировать поражение связок (</w:t>
      </w:r>
      <w:proofErr w:type="spellStart"/>
      <w:r w:rsidRPr="00B97A7C">
        <w:rPr>
          <w:rFonts w:ascii="Times New Roman" w:eastAsia="Times New Roman" w:hAnsi="Times New Roman" w:cs="Times New Roman"/>
          <w:sz w:val="28"/>
          <w:szCs w:val="28"/>
          <w:lang w:eastAsia="ru-RU"/>
        </w:rPr>
        <w:t>энтезит</w:t>
      </w:r>
      <w:proofErr w:type="spellEnd"/>
      <w:r w:rsidRPr="00B97A7C">
        <w:rPr>
          <w:rFonts w:ascii="Times New Roman" w:eastAsia="Times New Roman" w:hAnsi="Times New Roman" w:cs="Times New Roman"/>
          <w:sz w:val="28"/>
          <w:szCs w:val="28"/>
          <w:lang w:eastAsia="ru-RU"/>
        </w:rPr>
        <w:t xml:space="preserve">) и офтальмологические проявления (передний </w:t>
      </w:r>
      <w:proofErr w:type="spellStart"/>
      <w:r w:rsidRPr="00B97A7C">
        <w:rPr>
          <w:rFonts w:ascii="Times New Roman" w:eastAsia="Times New Roman" w:hAnsi="Times New Roman" w:cs="Times New Roman"/>
          <w:sz w:val="28"/>
          <w:szCs w:val="28"/>
          <w:lang w:eastAsia="ru-RU"/>
        </w:rPr>
        <w:t>увеит</w:t>
      </w:r>
      <w:proofErr w:type="spellEnd"/>
      <w:r w:rsidRPr="00B97A7C">
        <w:rPr>
          <w:rFonts w:ascii="Times New Roman" w:eastAsia="Times New Roman" w:hAnsi="Times New Roman" w:cs="Times New Roman"/>
          <w:sz w:val="28"/>
          <w:szCs w:val="28"/>
          <w:lang w:eastAsia="ru-RU"/>
        </w:rPr>
        <w:t>). При достижении клинического эффекта, не следует снижать дозу препарата (</w:t>
      </w:r>
      <w:proofErr w:type="spellStart"/>
      <w:r w:rsidRPr="00B97A7C">
        <w:rPr>
          <w:rFonts w:ascii="Times New Roman" w:eastAsia="Times New Roman" w:hAnsi="Times New Roman" w:cs="Times New Roman"/>
          <w:sz w:val="28"/>
          <w:szCs w:val="28"/>
          <w:lang w:eastAsia="ru-RU"/>
        </w:rPr>
        <w:t>инфликсимаб</w:t>
      </w:r>
      <w:proofErr w:type="spellEnd"/>
      <w:r w:rsidRPr="00B97A7C">
        <w:rPr>
          <w:rFonts w:ascii="Times New Roman" w:eastAsia="Times New Roman" w:hAnsi="Times New Roman" w:cs="Times New Roman"/>
          <w:sz w:val="28"/>
          <w:szCs w:val="28"/>
          <w:lang w:eastAsia="ru-RU"/>
        </w:rPr>
        <w:t xml:space="preserve"> 5мг/кг раз в 2 мес.) или удлинять интервал между введениями или его отменять.</w:t>
      </w:r>
      <w:r w:rsidRPr="00B97A7C">
        <w:rPr>
          <w:rFonts w:ascii="Times New Roman" w:eastAsia="Times New Roman" w:hAnsi="Times New Roman" w:cs="Times New Roman"/>
          <w:sz w:val="28"/>
          <w:szCs w:val="28"/>
          <w:lang w:eastAsia="ru-RU"/>
        </w:rPr>
        <w:br/>
        <w:t>Критерии ответа: BASDAI: 50% -сравнительное или абсолютное на 2 пункта (по 10-балльной шкале).</w:t>
      </w:r>
      <w:r w:rsidRPr="00B97A7C">
        <w:rPr>
          <w:rFonts w:ascii="Times New Roman" w:eastAsia="Times New Roman" w:hAnsi="Times New Roman" w:cs="Times New Roman"/>
          <w:sz w:val="28"/>
          <w:szCs w:val="28"/>
          <w:lang w:eastAsia="ru-RU"/>
        </w:rPr>
        <w:br/>
        <w:t xml:space="preserve">Период оценки: между 6 и 12 </w:t>
      </w:r>
      <w:proofErr w:type="spellStart"/>
      <w:r w:rsidRPr="00B97A7C">
        <w:rPr>
          <w:rFonts w:ascii="Times New Roman" w:eastAsia="Times New Roman" w:hAnsi="Times New Roman" w:cs="Times New Roman"/>
          <w:sz w:val="28"/>
          <w:szCs w:val="28"/>
          <w:lang w:eastAsia="ru-RU"/>
        </w:rPr>
        <w:t>нед</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t>ГОЛИМУМАБ</w:t>
      </w:r>
      <w:r w:rsidRPr="00B97A7C">
        <w:rPr>
          <w:rFonts w:ascii="Times New Roman" w:eastAsia="Times New Roman" w:hAnsi="Times New Roman" w:cs="Times New Roman"/>
          <w:sz w:val="28"/>
          <w:szCs w:val="28"/>
          <w:lang w:eastAsia="ru-RU"/>
        </w:rPr>
        <w:br/>
        <w:t xml:space="preserve">1. Результаты </w:t>
      </w:r>
      <w:proofErr w:type="spellStart"/>
      <w:r w:rsidRPr="00B97A7C">
        <w:rPr>
          <w:rFonts w:ascii="Times New Roman" w:eastAsia="Times New Roman" w:hAnsi="Times New Roman" w:cs="Times New Roman"/>
          <w:sz w:val="28"/>
          <w:szCs w:val="28"/>
          <w:lang w:eastAsia="ru-RU"/>
        </w:rPr>
        <w:t>мультицентрового</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рандомизированного</w:t>
      </w:r>
      <w:proofErr w:type="spellEnd"/>
      <w:r w:rsidRPr="00B97A7C">
        <w:rPr>
          <w:rFonts w:ascii="Times New Roman" w:eastAsia="Times New Roman" w:hAnsi="Times New Roman" w:cs="Times New Roman"/>
          <w:sz w:val="28"/>
          <w:szCs w:val="28"/>
          <w:lang w:eastAsia="ru-RU"/>
        </w:rPr>
        <w:t xml:space="preserve">, двойного слепого плацебо-контролируемого исследования п/к введения </w:t>
      </w:r>
      <w:proofErr w:type="spellStart"/>
      <w:r w:rsidRPr="00B97A7C">
        <w:rPr>
          <w:rFonts w:ascii="Times New Roman" w:eastAsia="Times New Roman" w:hAnsi="Times New Roman" w:cs="Times New Roman"/>
          <w:sz w:val="28"/>
          <w:szCs w:val="28"/>
          <w:lang w:eastAsia="ru-RU"/>
        </w:rPr>
        <w:t>Голимумаба</w:t>
      </w:r>
      <w:proofErr w:type="spellEnd"/>
      <w:r w:rsidRPr="00B97A7C">
        <w:rPr>
          <w:rFonts w:ascii="Times New Roman" w:eastAsia="Times New Roman" w:hAnsi="Times New Roman" w:cs="Times New Roman"/>
          <w:sz w:val="28"/>
          <w:szCs w:val="28"/>
          <w:lang w:eastAsia="ru-RU"/>
        </w:rPr>
        <w:t xml:space="preserve"> у пациентов с активным </w:t>
      </w:r>
      <w:proofErr w:type="spellStart"/>
      <w:r w:rsidRPr="00B97A7C">
        <w:rPr>
          <w:rFonts w:ascii="Times New Roman" w:eastAsia="Times New Roman" w:hAnsi="Times New Roman" w:cs="Times New Roman"/>
          <w:sz w:val="28"/>
          <w:szCs w:val="28"/>
          <w:lang w:eastAsia="ru-RU"/>
        </w:rPr>
        <w:t>анкилозирующим</w:t>
      </w:r>
      <w:proofErr w:type="spellEnd"/>
      <w:r w:rsidRPr="00B97A7C">
        <w:rPr>
          <w:rFonts w:ascii="Times New Roman" w:eastAsia="Times New Roman" w:hAnsi="Times New Roman" w:cs="Times New Roman"/>
          <w:sz w:val="28"/>
          <w:szCs w:val="28"/>
          <w:lang w:eastAsia="ru-RU"/>
        </w:rPr>
        <w:t xml:space="preserve"> спондилитом показало, что подкожные инъекции </w:t>
      </w:r>
      <w:proofErr w:type="spellStart"/>
      <w:r w:rsidRPr="00B97A7C">
        <w:rPr>
          <w:rFonts w:ascii="Times New Roman" w:eastAsia="Times New Roman" w:hAnsi="Times New Roman" w:cs="Times New Roman"/>
          <w:sz w:val="28"/>
          <w:szCs w:val="28"/>
          <w:lang w:eastAsia="ru-RU"/>
        </w:rPr>
        <w:t>голимумаба</w:t>
      </w:r>
      <w:proofErr w:type="spellEnd"/>
      <w:r w:rsidRPr="00B97A7C">
        <w:rPr>
          <w:rFonts w:ascii="Times New Roman" w:eastAsia="Times New Roman" w:hAnsi="Times New Roman" w:cs="Times New Roman"/>
          <w:sz w:val="28"/>
          <w:szCs w:val="28"/>
          <w:lang w:eastAsia="ru-RU"/>
        </w:rPr>
        <w:t xml:space="preserve">, производимые каждые 4 недели, приводили к эффективному сокращению признаков и симптомов </w:t>
      </w:r>
      <w:proofErr w:type="spellStart"/>
      <w:r w:rsidRPr="00B97A7C">
        <w:rPr>
          <w:rFonts w:ascii="Times New Roman" w:eastAsia="Times New Roman" w:hAnsi="Times New Roman" w:cs="Times New Roman"/>
          <w:sz w:val="28"/>
          <w:szCs w:val="28"/>
          <w:lang w:eastAsia="ru-RU"/>
        </w:rPr>
        <w:t>анкилозирующего</w:t>
      </w:r>
      <w:proofErr w:type="spellEnd"/>
      <w:r w:rsidRPr="00B97A7C">
        <w:rPr>
          <w:rFonts w:ascii="Times New Roman" w:eastAsia="Times New Roman" w:hAnsi="Times New Roman" w:cs="Times New Roman"/>
          <w:sz w:val="28"/>
          <w:szCs w:val="28"/>
          <w:lang w:eastAsia="ru-RU"/>
        </w:rPr>
        <w:t xml:space="preserve"> спондилита у пациентов с активной формой заболевания, несмотря на предшествующее применением нестероидных противовоспалительных препаратов или базовыми противоревматическими препаратами, модифицирующими течение болезни, а также терапия </w:t>
      </w:r>
      <w:proofErr w:type="spellStart"/>
      <w:r w:rsidRPr="00B97A7C">
        <w:rPr>
          <w:rFonts w:ascii="Times New Roman" w:eastAsia="Times New Roman" w:hAnsi="Times New Roman" w:cs="Times New Roman"/>
          <w:sz w:val="28"/>
          <w:szCs w:val="28"/>
          <w:lang w:eastAsia="ru-RU"/>
        </w:rPr>
        <w:t>голимумабом</w:t>
      </w:r>
      <w:proofErr w:type="spellEnd"/>
      <w:r w:rsidRPr="00B97A7C">
        <w:rPr>
          <w:rFonts w:ascii="Times New Roman" w:eastAsia="Times New Roman" w:hAnsi="Times New Roman" w:cs="Times New Roman"/>
          <w:sz w:val="28"/>
          <w:szCs w:val="28"/>
          <w:lang w:eastAsia="ru-RU"/>
        </w:rPr>
        <w:t xml:space="preserve"> была эффективна в достижении и поддержании улучшения физической функции, диапазона движения и связанного со здоровьем качества жизни в течение 104-недельного периода</w:t>
      </w:r>
      <w:r w:rsidRPr="00B97A7C">
        <w:rPr>
          <w:rFonts w:ascii="Times New Roman" w:eastAsia="Times New Roman" w:hAnsi="Times New Roman" w:cs="Times New Roman"/>
          <w:sz w:val="28"/>
          <w:szCs w:val="28"/>
          <w:lang w:eastAsia="ru-RU"/>
        </w:rPr>
        <w:br/>
        <w:t xml:space="preserve">2. При отсутствии противопоказаний для назначения ингибиторов ФНО-α, их следует назначать больным с установленным диагнозом АС (согласно </w:t>
      </w:r>
      <w:r w:rsidRPr="00B97A7C">
        <w:rPr>
          <w:rFonts w:ascii="Times New Roman" w:eastAsia="Times New Roman" w:hAnsi="Times New Roman" w:cs="Times New Roman"/>
          <w:sz w:val="28"/>
          <w:szCs w:val="28"/>
          <w:lang w:eastAsia="ru-RU"/>
        </w:rPr>
        <w:lastRenderedPageBreak/>
        <w:t>российской версии модифицированных Нью-Йоркских критериев АС) в следующих случаях:</w:t>
      </w:r>
      <w:r w:rsidRPr="00B97A7C">
        <w:rPr>
          <w:rFonts w:ascii="Times New Roman" w:eastAsia="Times New Roman" w:hAnsi="Times New Roman" w:cs="Times New Roman"/>
          <w:sz w:val="28"/>
          <w:szCs w:val="28"/>
          <w:lang w:eastAsia="ru-RU"/>
        </w:rPr>
        <w:br/>
        <w:t>- Имеющим высокую активность болезни (BASDAI&gt; 4 или ASDAS&gt;  2,1) и при наличии неэффективности (непереносимости) двух предшествующих НПВП, назначенных последовательно в полной терапевтической дозе с длительностью применения не менее 2-х недель каждый;</w:t>
      </w:r>
      <w:r w:rsidRPr="00B97A7C">
        <w:rPr>
          <w:rFonts w:ascii="Times New Roman" w:eastAsia="Times New Roman" w:hAnsi="Times New Roman" w:cs="Times New Roman"/>
          <w:sz w:val="28"/>
          <w:szCs w:val="28"/>
          <w:lang w:eastAsia="ru-RU"/>
        </w:rPr>
        <w:br/>
        <w:t xml:space="preserve">- При наличии у пациента с достоверным диагнозом АС рецидивирующего (или резистентного к стандартной терапии) </w:t>
      </w:r>
      <w:proofErr w:type="spellStart"/>
      <w:r w:rsidRPr="00B97A7C">
        <w:rPr>
          <w:rFonts w:ascii="Times New Roman" w:eastAsia="Times New Roman" w:hAnsi="Times New Roman" w:cs="Times New Roman"/>
          <w:sz w:val="28"/>
          <w:szCs w:val="28"/>
          <w:lang w:eastAsia="ru-RU"/>
        </w:rPr>
        <w:t>увеита</w:t>
      </w:r>
      <w:proofErr w:type="spellEnd"/>
      <w:r w:rsidRPr="00B97A7C">
        <w:rPr>
          <w:rFonts w:ascii="Times New Roman" w:eastAsia="Times New Roman" w:hAnsi="Times New Roman" w:cs="Times New Roman"/>
          <w:sz w:val="28"/>
          <w:szCs w:val="28"/>
          <w:lang w:eastAsia="ru-RU"/>
        </w:rPr>
        <w:t>, без учета активности болезни; 3. При наличии у пациента с достоверным диагнозом АС коксита, без учета активности болезни.</w:t>
      </w:r>
      <w:r w:rsidRPr="00B97A7C">
        <w:rPr>
          <w:rFonts w:ascii="Times New Roman" w:eastAsia="Times New Roman" w:hAnsi="Times New Roman" w:cs="Times New Roman"/>
          <w:sz w:val="28"/>
          <w:szCs w:val="28"/>
          <w:lang w:eastAsia="ru-RU"/>
        </w:rPr>
        <w:br/>
        <w:t xml:space="preserve">- При наличии у пациента с достоверным диагнозом АС стойких периферических артритов и/или </w:t>
      </w:r>
      <w:proofErr w:type="spellStart"/>
      <w:r w:rsidRPr="00B97A7C">
        <w:rPr>
          <w:rFonts w:ascii="Times New Roman" w:eastAsia="Times New Roman" w:hAnsi="Times New Roman" w:cs="Times New Roman"/>
          <w:sz w:val="28"/>
          <w:szCs w:val="28"/>
          <w:lang w:eastAsia="ru-RU"/>
        </w:rPr>
        <w:t>энтезитов</w:t>
      </w:r>
      <w:proofErr w:type="spellEnd"/>
      <w:r w:rsidRPr="00B97A7C">
        <w:rPr>
          <w:rFonts w:ascii="Times New Roman" w:eastAsia="Times New Roman" w:hAnsi="Times New Roman" w:cs="Times New Roman"/>
          <w:sz w:val="28"/>
          <w:szCs w:val="28"/>
          <w:lang w:eastAsia="ru-RU"/>
        </w:rPr>
        <w:t xml:space="preserve"> и при наличии неэффективности (непереносимости) лечения </w:t>
      </w:r>
      <w:proofErr w:type="spellStart"/>
      <w:r w:rsidRPr="00B97A7C">
        <w:rPr>
          <w:rFonts w:ascii="Times New Roman" w:eastAsia="Times New Roman" w:hAnsi="Times New Roman" w:cs="Times New Roman"/>
          <w:sz w:val="28"/>
          <w:szCs w:val="28"/>
          <w:lang w:eastAsia="ru-RU"/>
        </w:rPr>
        <w:t>сульфасалазином</w:t>
      </w:r>
      <w:proofErr w:type="spellEnd"/>
      <w:r w:rsidRPr="00B97A7C">
        <w:rPr>
          <w:rFonts w:ascii="Times New Roman" w:eastAsia="Times New Roman" w:hAnsi="Times New Roman" w:cs="Times New Roman"/>
          <w:sz w:val="28"/>
          <w:szCs w:val="28"/>
          <w:lang w:eastAsia="ru-RU"/>
        </w:rPr>
        <w:t xml:space="preserve"> в дозе не менее 2-3 г в течение не менее чем 3-х месяцев и внутрисуставных инъекций ГК (не менее 2-х). Применяется в дозе 5 мг/кг, реже 3 мг/кг по стандартной схеме.</w:t>
      </w:r>
      <w:r w:rsidRPr="00B97A7C">
        <w:rPr>
          <w:rFonts w:ascii="Times New Roman" w:eastAsia="Times New Roman" w:hAnsi="Times New Roman" w:cs="Times New Roman"/>
          <w:sz w:val="28"/>
          <w:szCs w:val="28"/>
          <w:lang w:eastAsia="ru-RU"/>
        </w:rPr>
        <w:br/>
        <w:t xml:space="preserve">Отмечено достоверное уменьшение болей в спине, недомогания, утренней скованности, исчезновение артрита периферических суставов, снижение </w:t>
      </w:r>
      <w:proofErr w:type="spellStart"/>
      <w:r w:rsidRPr="00B97A7C">
        <w:rPr>
          <w:rFonts w:ascii="Times New Roman" w:eastAsia="Times New Roman" w:hAnsi="Times New Roman" w:cs="Times New Roman"/>
          <w:sz w:val="28"/>
          <w:szCs w:val="28"/>
          <w:lang w:eastAsia="ru-RU"/>
        </w:rPr>
        <w:t>острофазовых</w:t>
      </w:r>
      <w:proofErr w:type="spellEnd"/>
      <w:r w:rsidRPr="00B97A7C">
        <w:rPr>
          <w:rFonts w:ascii="Times New Roman" w:eastAsia="Times New Roman" w:hAnsi="Times New Roman" w:cs="Times New Roman"/>
          <w:sz w:val="28"/>
          <w:szCs w:val="28"/>
          <w:lang w:eastAsia="ru-RU"/>
        </w:rPr>
        <w:t xml:space="preserve"> показателей и улучшение параметров, отражающих качество жизни.</w:t>
      </w:r>
      <w:r w:rsidRPr="00B97A7C">
        <w:rPr>
          <w:rFonts w:ascii="Times New Roman" w:eastAsia="Times New Roman" w:hAnsi="Times New Roman" w:cs="Times New Roman"/>
          <w:sz w:val="28"/>
          <w:szCs w:val="28"/>
          <w:lang w:eastAsia="ru-RU"/>
        </w:rPr>
        <w:br/>
        <w:t>На 104-й неделе у 71,4% пациентов наблюдалось, по крайней мере, 20%-</w:t>
      </w:r>
      <w:proofErr w:type="spellStart"/>
      <w:r w:rsidRPr="00B97A7C">
        <w:rPr>
          <w:rFonts w:ascii="Times New Roman" w:eastAsia="Times New Roman" w:hAnsi="Times New Roman" w:cs="Times New Roman"/>
          <w:sz w:val="28"/>
          <w:szCs w:val="28"/>
          <w:lang w:eastAsia="ru-RU"/>
        </w:rPr>
        <w:t>ное</w:t>
      </w:r>
      <w:proofErr w:type="spellEnd"/>
      <w:r w:rsidRPr="00B97A7C">
        <w:rPr>
          <w:rFonts w:ascii="Times New Roman" w:eastAsia="Times New Roman" w:hAnsi="Times New Roman" w:cs="Times New Roman"/>
          <w:sz w:val="28"/>
          <w:szCs w:val="28"/>
          <w:lang w:eastAsia="ru-RU"/>
        </w:rPr>
        <w:t xml:space="preserve"> улучшение по критериям терапевтического ответа Международного общества по оценке спондилоартритов (показатель ASAS20); у 54,3% пациентов соблюдались критерии 40%-</w:t>
      </w:r>
      <w:proofErr w:type="spellStart"/>
      <w:r w:rsidRPr="00B97A7C">
        <w:rPr>
          <w:rFonts w:ascii="Times New Roman" w:eastAsia="Times New Roman" w:hAnsi="Times New Roman" w:cs="Times New Roman"/>
          <w:sz w:val="28"/>
          <w:szCs w:val="28"/>
          <w:lang w:eastAsia="ru-RU"/>
        </w:rPr>
        <w:t>ного</w:t>
      </w:r>
      <w:proofErr w:type="spellEnd"/>
      <w:r w:rsidRPr="00B97A7C">
        <w:rPr>
          <w:rFonts w:ascii="Times New Roman" w:eastAsia="Times New Roman" w:hAnsi="Times New Roman" w:cs="Times New Roman"/>
          <w:sz w:val="28"/>
          <w:szCs w:val="28"/>
          <w:lang w:eastAsia="ru-RU"/>
        </w:rPr>
        <w:t xml:space="preserve"> улучшения (показатель ASAS40) и 30,7% пациентов находились в состоянии частичной ремиссии, согласно критериям ASAS.  Средние значения индекса активности заболевания </w:t>
      </w:r>
      <w:proofErr w:type="spellStart"/>
      <w:r w:rsidRPr="00B97A7C">
        <w:rPr>
          <w:rFonts w:ascii="Times New Roman" w:eastAsia="Times New Roman" w:hAnsi="Times New Roman" w:cs="Times New Roman"/>
          <w:sz w:val="28"/>
          <w:szCs w:val="28"/>
          <w:lang w:eastAsia="ru-RU"/>
        </w:rPr>
        <w:t>анкилозирующим</w:t>
      </w:r>
      <w:proofErr w:type="spellEnd"/>
      <w:r w:rsidRPr="00B97A7C">
        <w:rPr>
          <w:rFonts w:ascii="Times New Roman" w:eastAsia="Times New Roman" w:hAnsi="Times New Roman" w:cs="Times New Roman"/>
          <w:sz w:val="28"/>
          <w:szCs w:val="28"/>
          <w:lang w:eastAsia="ru-RU"/>
        </w:rPr>
        <w:t xml:space="preserve"> спондилитом (индекс BASDAI), и индекса функциональности при </w:t>
      </w:r>
      <w:proofErr w:type="spellStart"/>
      <w:r w:rsidRPr="00B97A7C">
        <w:rPr>
          <w:rFonts w:ascii="Times New Roman" w:eastAsia="Times New Roman" w:hAnsi="Times New Roman" w:cs="Times New Roman"/>
          <w:sz w:val="28"/>
          <w:szCs w:val="28"/>
          <w:lang w:eastAsia="ru-RU"/>
        </w:rPr>
        <w:t>анкилозирующем</w:t>
      </w:r>
      <w:proofErr w:type="spellEnd"/>
      <w:r w:rsidRPr="00B97A7C">
        <w:rPr>
          <w:rFonts w:ascii="Times New Roman" w:eastAsia="Times New Roman" w:hAnsi="Times New Roman" w:cs="Times New Roman"/>
          <w:sz w:val="28"/>
          <w:szCs w:val="28"/>
          <w:lang w:eastAsia="ru-RU"/>
        </w:rPr>
        <w:t xml:space="preserve"> спондилите (индекс BASFI), составляли &lt;3 на 104-й неделе для всех режимов терапии. Профиль безопасности терапии </w:t>
      </w:r>
      <w:proofErr w:type="spellStart"/>
      <w:r w:rsidRPr="00B97A7C">
        <w:rPr>
          <w:rFonts w:ascii="Times New Roman" w:eastAsia="Times New Roman" w:hAnsi="Times New Roman" w:cs="Times New Roman"/>
          <w:sz w:val="28"/>
          <w:szCs w:val="28"/>
          <w:lang w:eastAsia="ru-RU"/>
        </w:rPr>
        <w:t>голимумабом</w:t>
      </w:r>
      <w:proofErr w:type="spellEnd"/>
      <w:r w:rsidRPr="00B97A7C">
        <w:rPr>
          <w:rFonts w:ascii="Times New Roman" w:eastAsia="Times New Roman" w:hAnsi="Times New Roman" w:cs="Times New Roman"/>
          <w:sz w:val="28"/>
          <w:szCs w:val="28"/>
          <w:lang w:eastAsia="ru-RU"/>
        </w:rPr>
        <w:t xml:space="preserve"> в течение 104 недель был сходным с профилем безопасности, оцениваемым за 24-недельный период.</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lastRenderedPageBreak/>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основных медикаментов</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Нестероидные противовоспалительные средства</w:t>
      </w:r>
      <w:r w:rsidRPr="00B97A7C">
        <w:rPr>
          <w:rFonts w:ascii="Times New Roman" w:eastAsia="Times New Roman" w:hAnsi="Times New Roman" w:cs="Times New Roman"/>
          <w:sz w:val="28"/>
          <w:szCs w:val="28"/>
          <w:lang w:eastAsia="ru-RU"/>
        </w:rPr>
        <w:br/>
        <w:t xml:space="preserve">1. </w:t>
      </w:r>
      <w:proofErr w:type="spellStart"/>
      <w:r w:rsidRPr="00B97A7C">
        <w:rPr>
          <w:rFonts w:ascii="Times New Roman" w:eastAsia="Times New Roman" w:hAnsi="Times New Roman" w:cs="Times New Roman"/>
          <w:sz w:val="28"/>
          <w:szCs w:val="28"/>
          <w:lang w:eastAsia="ru-RU"/>
        </w:rPr>
        <w:t>Мелоксикам</w:t>
      </w:r>
      <w:proofErr w:type="spellEnd"/>
      <w:r w:rsidRPr="00B97A7C">
        <w:rPr>
          <w:rFonts w:ascii="Times New Roman" w:eastAsia="Times New Roman" w:hAnsi="Times New Roman" w:cs="Times New Roman"/>
          <w:sz w:val="28"/>
          <w:szCs w:val="28"/>
          <w:lang w:eastAsia="ru-RU"/>
        </w:rPr>
        <w:t xml:space="preserve"> 15 мг, таб.</w:t>
      </w:r>
      <w:r w:rsidRPr="00B97A7C">
        <w:rPr>
          <w:rFonts w:ascii="Times New Roman" w:eastAsia="Times New Roman" w:hAnsi="Times New Roman" w:cs="Times New Roman"/>
          <w:sz w:val="28"/>
          <w:szCs w:val="28"/>
          <w:lang w:eastAsia="ru-RU"/>
        </w:rPr>
        <w:br/>
      </w:r>
      <w:proofErr w:type="spellStart"/>
      <w:r w:rsidRPr="00D85C55">
        <w:rPr>
          <w:rFonts w:ascii="Times New Roman" w:eastAsia="Times New Roman" w:hAnsi="Times New Roman" w:cs="Times New Roman"/>
          <w:b/>
          <w:bCs/>
          <w:sz w:val="28"/>
          <w:szCs w:val="28"/>
          <w:lang w:eastAsia="ru-RU"/>
        </w:rPr>
        <w:t>Глюкокортикоиды</w:t>
      </w:r>
      <w:proofErr w:type="spellEnd"/>
      <w:r w:rsidRPr="00B97A7C">
        <w:rPr>
          <w:rFonts w:ascii="Times New Roman" w:eastAsia="Times New Roman" w:hAnsi="Times New Roman" w:cs="Times New Roman"/>
          <w:sz w:val="28"/>
          <w:szCs w:val="28"/>
          <w:lang w:eastAsia="ru-RU"/>
        </w:rPr>
        <w:br/>
        <w:t xml:space="preserve">1. </w:t>
      </w:r>
      <w:proofErr w:type="spellStart"/>
      <w:r w:rsidRPr="00B97A7C">
        <w:rPr>
          <w:rFonts w:ascii="Times New Roman" w:eastAsia="Times New Roman" w:hAnsi="Times New Roman" w:cs="Times New Roman"/>
          <w:sz w:val="28"/>
          <w:szCs w:val="28"/>
          <w:lang w:eastAsia="ru-RU"/>
        </w:rPr>
        <w:t>Метилпреднизолон</w:t>
      </w:r>
      <w:proofErr w:type="spellEnd"/>
      <w:r w:rsidRPr="00B97A7C">
        <w:rPr>
          <w:rFonts w:ascii="Times New Roman" w:eastAsia="Times New Roman" w:hAnsi="Times New Roman" w:cs="Times New Roman"/>
          <w:sz w:val="28"/>
          <w:szCs w:val="28"/>
          <w:lang w:eastAsia="ru-RU"/>
        </w:rPr>
        <w:t xml:space="preserve"> 4мг, таб.</w:t>
      </w:r>
      <w:r w:rsidRPr="00B97A7C">
        <w:rPr>
          <w:rFonts w:ascii="Times New Roman" w:eastAsia="Times New Roman" w:hAnsi="Times New Roman" w:cs="Times New Roman"/>
          <w:sz w:val="28"/>
          <w:szCs w:val="28"/>
          <w:lang w:eastAsia="ru-RU"/>
        </w:rPr>
        <w:br/>
        <w:t xml:space="preserve">2. </w:t>
      </w:r>
      <w:proofErr w:type="spellStart"/>
      <w:r w:rsidRPr="00B97A7C">
        <w:rPr>
          <w:rFonts w:ascii="Times New Roman" w:eastAsia="Times New Roman" w:hAnsi="Times New Roman" w:cs="Times New Roman"/>
          <w:sz w:val="28"/>
          <w:szCs w:val="28"/>
          <w:lang w:eastAsia="ru-RU"/>
        </w:rPr>
        <w:t>Метилпреднизолон</w:t>
      </w:r>
      <w:proofErr w:type="spellEnd"/>
      <w:r w:rsidRPr="00B97A7C">
        <w:rPr>
          <w:rFonts w:ascii="Times New Roman" w:eastAsia="Times New Roman" w:hAnsi="Times New Roman" w:cs="Times New Roman"/>
          <w:sz w:val="28"/>
          <w:szCs w:val="28"/>
          <w:lang w:eastAsia="ru-RU"/>
        </w:rPr>
        <w:t xml:space="preserve"> 250 мг, </w:t>
      </w:r>
      <w:proofErr w:type="spellStart"/>
      <w:r w:rsidRPr="00B97A7C">
        <w:rPr>
          <w:rFonts w:ascii="Times New Roman" w:eastAsia="Times New Roman" w:hAnsi="Times New Roman" w:cs="Times New Roman"/>
          <w:sz w:val="28"/>
          <w:szCs w:val="28"/>
          <w:lang w:eastAsia="ru-RU"/>
        </w:rPr>
        <w:t>фл</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xml:space="preserve">3. </w:t>
      </w:r>
      <w:proofErr w:type="spellStart"/>
      <w:r w:rsidRPr="00B97A7C">
        <w:rPr>
          <w:rFonts w:ascii="Times New Roman" w:eastAsia="Times New Roman" w:hAnsi="Times New Roman" w:cs="Times New Roman"/>
          <w:sz w:val="28"/>
          <w:szCs w:val="28"/>
          <w:lang w:eastAsia="ru-RU"/>
        </w:rPr>
        <w:t>Бетаметазон</w:t>
      </w:r>
      <w:proofErr w:type="spellEnd"/>
      <w:r w:rsidRPr="00B97A7C">
        <w:rPr>
          <w:rFonts w:ascii="Times New Roman" w:eastAsia="Times New Roman" w:hAnsi="Times New Roman" w:cs="Times New Roman"/>
          <w:sz w:val="28"/>
          <w:szCs w:val="28"/>
          <w:lang w:eastAsia="ru-RU"/>
        </w:rPr>
        <w:t xml:space="preserve"> 1 мл, </w:t>
      </w:r>
      <w:proofErr w:type="spellStart"/>
      <w:r w:rsidRPr="00B97A7C">
        <w:rPr>
          <w:rFonts w:ascii="Times New Roman" w:eastAsia="Times New Roman" w:hAnsi="Times New Roman" w:cs="Times New Roman"/>
          <w:sz w:val="28"/>
          <w:szCs w:val="28"/>
          <w:lang w:eastAsia="ru-RU"/>
        </w:rPr>
        <w:t>амп</w:t>
      </w:r>
      <w:proofErr w:type="spellEnd"/>
      <w:r w:rsidRPr="00B97A7C">
        <w:rPr>
          <w:rFonts w:ascii="Times New Roman" w:eastAsia="Times New Roman" w:hAnsi="Times New Roman" w:cs="Times New Roman"/>
          <w:sz w:val="28"/>
          <w:szCs w:val="28"/>
          <w:lang w:eastAsia="ru-RU"/>
        </w:rPr>
        <w:br/>
        <w:t xml:space="preserve">4. Преднизолон, 30 мг, </w:t>
      </w:r>
      <w:proofErr w:type="spellStart"/>
      <w:r w:rsidRPr="00B97A7C">
        <w:rPr>
          <w:rFonts w:ascii="Times New Roman" w:eastAsia="Times New Roman" w:hAnsi="Times New Roman" w:cs="Times New Roman"/>
          <w:sz w:val="28"/>
          <w:szCs w:val="28"/>
          <w:lang w:eastAsia="ru-RU"/>
        </w:rPr>
        <w:t>амп</w:t>
      </w:r>
      <w:proofErr w:type="spellEnd"/>
      <w:r w:rsidRPr="00B97A7C">
        <w:rPr>
          <w:rFonts w:ascii="Times New Roman" w:eastAsia="Times New Roman" w:hAnsi="Times New Roman" w:cs="Times New Roman"/>
          <w:sz w:val="28"/>
          <w:szCs w:val="28"/>
          <w:lang w:eastAsia="ru-RU"/>
        </w:rPr>
        <w:br/>
      </w:r>
      <w:proofErr w:type="spellStart"/>
      <w:r w:rsidRPr="00D85C55">
        <w:rPr>
          <w:rFonts w:ascii="Times New Roman" w:eastAsia="Times New Roman" w:hAnsi="Times New Roman" w:cs="Times New Roman"/>
          <w:b/>
          <w:bCs/>
          <w:sz w:val="28"/>
          <w:szCs w:val="28"/>
          <w:lang w:eastAsia="ru-RU"/>
        </w:rPr>
        <w:t>Иммуносупрессивные</w:t>
      </w:r>
      <w:proofErr w:type="spellEnd"/>
      <w:r w:rsidRPr="00D85C55">
        <w:rPr>
          <w:rFonts w:ascii="Times New Roman" w:eastAsia="Times New Roman" w:hAnsi="Times New Roman" w:cs="Times New Roman"/>
          <w:b/>
          <w:bCs/>
          <w:sz w:val="28"/>
          <w:szCs w:val="28"/>
          <w:lang w:eastAsia="ru-RU"/>
        </w:rPr>
        <w:t xml:space="preserve"> лекарственные средства</w:t>
      </w:r>
      <w:r w:rsidRPr="00B97A7C">
        <w:rPr>
          <w:rFonts w:ascii="Times New Roman" w:eastAsia="Times New Roman" w:hAnsi="Times New Roman" w:cs="Times New Roman"/>
          <w:sz w:val="28"/>
          <w:szCs w:val="28"/>
          <w:lang w:eastAsia="ru-RU"/>
        </w:rPr>
        <w:br/>
        <w:t xml:space="preserve">1. </w:t>
      </w:r>
      <w:proofErr w:type="spellStart"/>
      <w:r w:rsidRPr="00B97A7C">
        <w:rPr>
          <w:rFonts w:ascii="Times New Roman" w:eastAsia="Times New Roman" w:hAnsi="Times New Roman" w:cs="Times New Roman"/>
          <w:sz w:val="28"/>
          <w:szCs w:val="28"/>
          <w:lang w:eastAsia="ru-RU"/>
        </w:rPr>
        <w:t>Сульфасалазин</w:t>
      </w:r>
      <w:proofErr w:type="spellEnd"/>
      <w:r w:rsidRPr="00B97A7C">
        <w:rPr>
          <w:rFonts w:ascii="Times New Roman" w:eastAsia="Times New Roman" w:hAnsi="Times New Roman" w:cs="Times New Roman"/>
          <w:sz w:val="28"/>
          <w:szCs w:val="28"/>
          <w:lang w:eastAsia="ru-RU"/>
        </w:rPr>
        <w:t xml:space="preserve"> 500 мг, </w:t>
      </w:r>
      <w:proofErr w:type="spellStart"/>
      <w:r w:rsidRPr="00B97A7C">
        <w:rPr>
          <w:rFonts w:ascii="Times New Roman" w:eastAsia="Times New Roman" w:hAnsi="Times New Roman" w:cs="Times New Roman"/>
          <w:sz w:val="28"/>
          <w:szCs w:val="28"/>
          <w:lang w:eastAsia="ru-RU"/>
        </w:rPr>
        <w:t>табл</w:t>
      </w:r>
      <w:proofErr w:type="spellEnd"/>
      <w:r w:rsidRPr="00B97A7C">
        <w:rPr>
          <w:rFonts w:ascii="Times New Roman" w:eastAsia="Times New Roman" w:hAnsi="Times New Roman" w:cs="Times New Roman"/>
          <w:sz w:val="28"/>
          <w:szCs w:val="28"/>
          <w:lang w:eastAsia="ru-RU"/>
        </w:rPr>
        <w:br/>
        <w:t xml:space="preserve">2. </w:t>
      </w:r>
      <w:proofErr w:type="spellStart"/>
      <w:r w:rsidRPr="00B97A7C">
        <w:rPr>
          <w:rFonts w:ascii="Times New Roman" w:eastAsia="Times New Roman" w:hAnsi="Times New Roman" w:cs="Times New Roman"/>
          <w:sz w:val="28"/>
          <w:szCs w:val="28"/>
          <w:lang w:eastAsia="ru-RU"/>
        </w:rPr>
        <w:t>Метотрексат</w:t>
      </w:r>
      <w:proofErr w:type="spellEnd"/>
      <w:r w:rsidRPr="00B97A7C">
        <w:rPr>
          <w:rFonts w:ascii="Times New Roman" w:eastAsia="Times New Roman" w:hAnsi="Times New Roman" w:cs="Times New Roman"/>
          <w:sz w:val="28"/>
          <w:szCs w:val="28"/>
          <w:lang w:eastAsia="ru-RU"/>
        </w:rPr>
        <w:t xml:space="preserve"> 2,5 мг, </w:t>
      </w:r>
      <w:proofErr w:type="spellStart"/>
      <w:r w:rsidRPr="00B97A7C">
        <w:rPr>
          <w:rFonts w:ascii="Times New Roman" w:eastAsia="Times New Roman" w:hAnsi="Times New Roman" w:cs="Times New Roman"/>
          <w:sz w:val="28"/>
          <w:szCs w:val="28"/>
          <w:lang w:eastAsia="ru-RU"/>
        </w:rPr>
        <w:t>табл</w:t>
      </w:r>
      <w:proofErr w:type="spellEnd"/>
      <w:r w:rsidRPr="00B97A7C">
        <w:rPr>
          <w:rFonts w:ascii="Times New Roman" w:eastAsia="Times New Roman" w:hAnsi="Times New Roman" w:cs="Times New Roman"/>
          <w:sz w:val="28"/>
          <w:szCs w:val="28"/>
          <w:lang w:eastAsia="ru-RU"/>
        </w:rPr>
        <w:br/>
        <w:t xml:space="preserve">3. </w:t>
      </w:r>
      <w:proofErr w:type="spellStart"/>
      <w:r w:rsidRPr="00B97A7C">
        <w:rPr>
          <w:rFonts w:ascii="Times New Roman" w:eastAsia="Times New Roman" w:hAnsi="Times New Roman" w:cs="Times New Roman"/>
          <w:sz w:val="28"/>
          <w:szCs w:val="28"/>
          <w:lang w:eastAsia="ru-RU"/>
        </w:rPr>
        <w:t>Инфликсимаб</w:t>
      </w:r>
      <w:proofErr w:type="spellEnd"/>
      <w:r w:rsidRPr="00B97A7C">
        <w:rPr>
          <w:rFonts w:ascii="Times New Roman" w:eastAsia="Times New Roman" w:hAnsi="Times New Roman" w:cs="Times New Roman"/>
          <w:sz w:val="28"/>
          <w:szCs w:val="28"/>
          <w:lang w:eastAsia="ru-RU"/>
        </w:rPr>
        <w:t xml:space="preserve"> 100 мг, </w:t>
      </w:r>
      <w:proofErr w:type="spellStart"/>
      <w:r w:rsidRPr="00B97A7C">
        <w:rPr>
          <w:rFonts w:ascii="Times New Roman" w:eastAsia="Times New Roman" w:hAnsi="Times New Roman" w:cs="Times New Roman"/>
          <w:sz w:val="28"/>
          <w:szCs w:val="28"/>
          <w:lang w:eastAsia="ru-RU"/>
        </w:rPr>
        <w:t>флак</w:t>
      </w:r>
      <w:proofErr w:type="spellEnd"/>
      <w:r w:rsidRPr="00B97A7C">
        <w:rPr>
          <w:rFonts w:ascii="Times New Roman" w:eastAsia="Times New Roman" w:hAnsi="Times New Roman" w:cs="Times New Roman"/>
          <w:sz w:val="28"/>
          <w:szCs w:val="28"/>
          <w:lang w:eastAsia="ru-RU"/>
        </w:rPr>
        <w:t>. по схеме</w:t>
      </w:r>
      <w:r w:rsidRPr="00B97A7C">
        <w:rPr>
          <w:rFonts w:ascii="Times New Roman" w:eastAsia="Times New Roman" w:hAnsi="Times New Roman" w:cs="Times New Roman"/>
          <w:sz w:val="28"/>
          <w:szCs w:val="28"/>
          <w:lang w:eastAsia="ru-RU"/>
        </w:rPr>
        <w:br/>
        <w:t xml:space="preserve">4. </w:t>
      </w:r>
      <w:proofErr w:type="spellStart"/>
      <w:r w:rsidRPr="00B97A7C">
        <w:rPr>
          <w:rFonts w:ascii="Times New Roman" w:eastAsia="Times New Roman" w:hAnsi="Times New Roman" w:cs="Times New Roman"/>
          <w:sz w:val="28"/>
          <w:szCs w:val="28"/>
          <w:lang w:eastAsia="ru-RU"/>
        </w:rPr>
        <w:t>Голимумаб</w:t>
      </w:r>
      <w:proofErr w:type="spellEnd"/>
      <w:r w:rsidRPr="00B97A7C">
        <w:rPr>
          <w:rFonts w:ascii="Times New Roman" w:eastAsia="Times New Roman" w:hAnsi="Times New Roman" w:cs="Times New Roman"/>
          <w:sz w:val="28"/>
          <w:szCs w:val="28"/>
          <w:lang w:eastAsia="ru-RU"/>
        </w:rPr>
        <w:t xml:space="preserve"> 50 мг </w:t>
      </w:r>
      <w:proofErr w:type="spellStart"/>
      <w:r w:rsidRPr="00B97A7C">
        <w:rPr>
          <w:rFonts w:ascii="Times New Roman" w:eastAsia="Times New Roman" w:hAnsi="Times New Roman" w:cs="Times New Roman"/>
          <w:sz w:val="28"/>
          <w:szCs w:val="28"/>
          <w:lang w:eastAsia="ru-RU"/>
        </w:rPr>
        <w:t>аутоинжектор</w:t>
      </w:r>
      <w:proofErr w:type="spellEnd"/>
      <w:r w:rsidRPr="00B97A7C">
        <w:rPr>
          <w:rFonts w:ascii="Times New Roman" w:eastAsia="Times New Roman" w:hAnsi="Times New Roman" w:cs="Times New Roman"/>
          <w:sz w:val="28"/>
          <w:szCs w:val="28"/>
          <w:lang w:eastAsia="ru-RU"/>
        </w:rPr>
        <w:t xml:space="preserve"> или предварительно заполненный шприц, по схеме</w:t>
      </w:r>
      <w:r w:rsidRPr="00B97A7C">
        <w:rPr>
          <w:rFonts w:ascii="Times New Roman" w:eastAsia="Times New Roman" w:hAnsi="Times New Roman" w:cs="Times New Roman"/>
          <w:sz w:val="28"/>
          <w:szCs w:val="28"/>
          <w:lang w:eastAsia="ru-RU"/>
        </w:rPr>
        <w:br/>
        <w:t> </w:t>
      </w: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Перечень дополнительных медикаментов:</w:t>
      </w:r>
      <w:r w:rsidRPr="00B97A7C">
        <w:rPr>
          <w:rFonts w:ascii="Times New Roman" w:eastAsia="Times New Roman" w:hAnsi="Times New Roman" w:cs="Times New Roman"/>
          <w:sz w:val="28"/>
          <w:szCs w:val="28"/>
          <w:lang w:eastAsia="ru-RU"/>
        </w:rPr>
        <w:br/>
        <w:t xml:space="preserve">1. Антидепрессанты (амитриптилин, </w:t>
      </w:r>
      <w:proofErr w:type="spellStart"/>
      <w:r w:rsidRPr="00B97A7C">
        <w:rPr>
          <w:rFonts w:ascii="Times New Roman" w:eastAsia="Times New Roman" w:hAnsi="Times New Roman" w:cs="Times New Roman"/>
          <w:sz w:val="28"/>
          <w:szCs w:val="28"/>
          <w:lang w:eastAsia="ru-RU"/>
        </w:rPr>
        <w:t>венлафаксин</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xml:space="preserve">2. </w:t>
      </w:r>
      <w:proofErr w:type="spellStart"/>
      <w:r w:rsidRPr="00B97A7C">
        <w:rPr>
          <w:rFonts w:ascii="Times New Roman" w:eastAsia="Times New Roman" w:hAnsi="Times New Roman" w:cs="Times New Roman"/>
          <w:sz w:val="28"/>
          <w:szCs w:val="28"/>
          <w:lang w:eastAsia="ru-RU"/>
        </w:rPr>
        <w:t>Гастропротекторы</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фамотидин</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омепразол</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t xml:space="preserve">3. </w:t>
      </w:r>
      <w:proofErr w:type="spellStart"/>
      <w:r w:rsidRPr="00B97A7C">
        <w:rPr>
          <w:rFonts w:ascii="Times New Roman" w:eastAsia="Times New Roman" w:hAnsi="Times New Roman" w:cs="Times New Roman"/>
          <w:sz w:val="28"/>
          <w:szCs w:val="28"/>
          <w:lang w:eastAsia="ru-RU"/>
        </w:rPr>
        <w:t>Миоспазмолитики</w:t>
      </w:r>
      <w:proofErr w:type="spellEnd"/>
      <w:r w:rsidRPr="00B97A7C">
        <w:rPr>
          <w:rFonts w:ascii="Times New Roman" w:eastAsia="Times New Roman" w:hAnsi="Times New Roman" w:cs="Times New Roman"/>
          <w:sz w:val="28"/>
          <w:szCs w:val="28"/>
          <w:lang w:eastAsia="ru-RU"/>
        </w:rPr>
        <w:t xml:space="preserve"> (</w:t>
      </w:r>
      <w:proofErr w:type="spellStart"/>
      <w:r w:rsidRPr="00B97A7C">
        <w:rPr>
          <w:rFonts w:ascii="Times New Roman" w:eastAsia="Times New Roman" w:hAnsi="Times New Roman" w:cs="Times New Roman"/>
          <w:sz w:val="28"/>
          <w:szCs w:val="28"/>
          <w:lang w:eastAsia="ru-RU"/>
        </w:rPr>
        <w:t>толперизон</w:t>
      </w:r>
      <w:proofErr w:type="spellEnd"/>
      <w:r w:rsidRPr="00B97A7C">
        <w:rPr>
          <w:rFonts w:ascii="Times New Roman" w:eastAsia="Times New Roman" w:hAnsi="Times New Roman" w:cs="Times New Roman"/>
          <w:sz w:val="28"/>
          <w:szCs w:val="28"/>
          <w:lang w:eastAsia="ru-RU"/>
        </w:rPr>
        <w:t>)</w:t>
      </w:r>
      <w:r w:rsidRPr="00B97A7C">
        <w:rPr>
          <w:rFonts w:ascii="Times New Roman" w:eastAsia="Times New Roman" w:hAnsi="Times New Roman" w:cs="Times New Roman"/>
          <w:sz w:val="28"/>
          <w:szCs w:val="28"/>
          <w:lang w:eastAsia="ru-RU"/>
        </w:rPr>
        <w:br/>
      </w:r>
      <w:r w:rsidRPr="00B97A7C">
        <w:rPr>
          <w:rFonts w:ascii="Times New Roman" w:eastAsia="Times New Roman" w:hAnsi="Times New Roman" w:cs="Times New Roman"/>
          <w:sz w:val="28"/>
          <w:szCs w:val="28"/>
          <w:lang w:eastAsia="ru-RU"/>
        </w:rPr>
        <w:br/>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b/>
          <w:bCs/>
          <w:sz w:val="28"/>
          <w:szCs w:val="28"/>
          <w:lang w:eastAsia="ru-RU"/>
        </w:rPr>
        <w:t>Другие виды лечения</w:t>
      </w:r>
      <w:r w:rsidRPr="00B97A7C">
        <w:rPr>
          <w:rFonts w:ascii="Times New Roman" w:eastAsia="Times New Roman" w:hAnsi="Times New Roman" w:cs="Times New Roman"/>
          <w:sz w:val="28"/>
          <w:szCs w:val="28"/>
          <w:lang w:eastAsia="ru-RU"/>
        </w:rPr>
        <w:t> – нет.</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b/>
          <w:bCs/>
          <w:sz w:val="28"/>
          <w:szCs w:val="28"/>
          <w:lang w:eastAsia="ru-RU"/>
        </w:rPr>
        <w:t>Хирургическое лечение</w:t>
      </w:r>
      <w:r w:rsidRPr="00B97A7C">
        <w:rPr>
          <w:rFonts w:ascii="Times New Roman" w:eastAsia="Times New Roman" w:hAnsi="Times New Roman" w:cs="Times New Roman"/>
          <w:sz w:val="28"/>
          <w:szCs w:val="28"/>
          <w:lang w:eastAsia="ru-RU"/>
        </w:rPr>
        <w:br/>
        <w:t>Протезирование тазобедренного сустава показано при наличии тяжелых, стойких болей или выраженного нарушений функции сустава</w:t>
      </w:r>
      <w:r w:rsidRPr="00B97A7C">
        <w:rPr>
          <w:rFonts w:ascii="Times New Roman" w:eastAsia="Times New Roman" w:hAnsi="Times New Roman" w:cs="Times New Roman"/>
          <w:b/>
          <w:bCs/>
          <w:sz w:val="28"/>
          <w:szCs w:val="28"/>
          <w:lang w:eastAsia="ru-RU"/>
        </w:rPr>
        <w:t>. </w:t>
      </w:r>
      <w:r w:rsidRPr="00B97A7C">
        <w:rPr>
          <w:rFonts w:ascii="Times New Roman" w:eastAsia="Times New Roman" w:hAnsi="Times New Roman" w:cs="Times New Roman"/>
          <w:sz w:val="28"/>
          <w:szCs w:val="28"/>
          <w:lang w:eastAsia="ru-RU"/>
        </w:rPr>
        <w:t xml:space="preserve">При упорном </w:t>
      </w:r>
      <w:proofErr w:type="spellStart"/>
      <w:r w:rsidRPr="00B97A7C">
        <w:rPr>
          <w:rFonts w:ascii="Times New Roman" w:eastAsia="Times New Roman" w:hAnsi="Times New Roman" w:cs="Times New Roman"/>
          <w:sz w:val="28"/>
          <w:szCs w:val="28"/>
          <w:lang w:eastAsia="ru-RU"/>
        </w:rPr>
        <w:t>синовите</w:t>
      </w:r>
      <w:proofErr w:type="spellEnd"/>
      <w:r w:rsidRPr="00B97A7C">
        <w:rPr>
          <w:rFonts w:ascii="Times New Roman" w:eastAsia="Times New Roman" w:hAnsi="Times New Roman" w:cs="Times New Roman"/>
          <w:sz w:val="28"/>
          <w:szCs w:val="28"/>
          <w:lang w:eastAsia="ru-RU"/>
        </w:rPr>
        <w:t xml:space="preserve"> коленных суставов показана </w:t>
      </w:r>
      <w:proofErr w:type="spellStart"/>
      <w:r w:rsidRPr="00B97A7C">
        <w:rPr>
          <w:rFonts w:ascii="Times New Roman" w:eastAsia="Times New Roman" w:hAnsi="Times New Roman" w:cs="Times New Roman"/>
          <w:sz w:val="28"/>
          <w:szCs w:val="28"/>
          <w:lang w:eastAsia="ru-RU"/>
        </w:rPr>
        <w:t>синовэктомия</w:t>
      </w:r>
      <w:proofErr w:type="spellEnd"/>
      <w:r w:rsidRPr="00B97A7C">
        <w:rPr>
          <w:rFonts w:ascii="Times New Roman" w:eastAsia="Times New Roman" w:hAnsi="Times New Roman" w:cs="Times New Roman"/>
          <w:sz w:val="28"/>
          <w:szCs w:val="28"/>
          <w:lang w:eastAsia="ru-RU"/>
        </w:rPr>
        <w:t>.</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D85C55">
        <w:rPr>
          <w:rFonts w:ascii="Times New Roman" w:eastAsia="Times New Roman" w:hAnsi="Times New Roman" w:cs="Times New Roman"/>
          <w:b/>
          <w:bCs/>
          <w:sz w:val="28"/>
          <w:szCs w:val="28"/>
          <w:lang w:eastAsia="ru-RU"/>
        </w:rPr>
        <w:t>Профилактические мероприятия</w:t>
      </w:r>
      <w:r w:rsidRPr="00D85C55">
        <w:rPr>
          <w:rFonts w:ascii="Times New Roman" w:eastAsia="Times New Roman" w:hAnsi="Times New Roman" w:cs="Times New Roman"/>
          <w:sz w:val="28"/>
          <w:szCs w:val="28"/>
          <w:lang w:eastAsia="ru-RU"/>
        </w:rPr>
        <w:t xml:space="preserve">: Первичная профилактика АС не разработана. Возможно медико-генетическое консультирование для определения </w:t>
      </w:r>
      <w:r w:rsidRPr="00D85C55">
        <w:rPr>
          <w:rFonts w:ascii="Times New Roman" w:eastAsia="Times New Roman" w:hAnsi="Times New Roman" w:cs="Times New Roman"/>
          <w:sz w:val="28"/>
          <w:szCs w:val="28"/>
          <w:lang w:eastAsia="ru-RU"/>
        </w:rPr>
        <w:lastRenderedPageBreak/>
        <w:t>риска развития АС у ребёнка, рождающегося у родителей с заболеванием. Профилактические мероприятия сводятся к предотвращению обострения заболевания и развития побочных эффектов лекарственной терапии.</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D85C55">
        <w:rPr>
          <w:rFonts w:ascii="Times New Roman" w:eastAsia="Times New Roman" w:hAnsi="Times New Roman" w:cs="Times New Roman"/>
          <w:b/>
          <w:bCs/>
          <w:sz w:val="28"/>
          <w:szCs w:val="28"/>
          <w:lang w:eastAsia="ru-RU"/>
        </w:rPr>
        <w:t>Дальнейшее ведение: </w:t>
      </w:r>
      <w:r w:rsidRPr="00D85C55">
        <w:rPr>
          <w:rFonts w:ascii="Times New Roman" w:eastAsia="Times New Roman" w:hAnsi="Times New Roman" w:cs="Times New Roman"/>
          <w:sz w:val="28"/>
          <w:szCs w:val="28"/>
          <w:lang w:eastAsia="ru-RU"/>
        </w:rPr>
        <w:t>Наблюдение ревматолога, терапевта. Диспансерный учет, длительный прием базисных средств, контроль анализов. Специальные упражнения для поддержания максимальной подвижности во всех отделах позвоночника и крупных суставах. Полезно регулярное плавание в бассейне.</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b/>
          <w:bCs/>
          <w:sz w:val="28"/>
          <w:szCs w:val="28"/>
          <w:lang w:eastAsia="ru-RU"/>
        </w:rPr>
        <w:t>Индикаторы эффективности лечения</w:t>
      </w:r>
      <w:r w:rsidRPr="00B97A7C">
        <w:rPr>
          <w:rFonts w:ascii="Times New Roman" w:eastAsia="Times New Roman" w:hAnsi="Times New Roman" w:cs="Times New Roman"/>
          <w:sz w:val="28"/>
          <w:szCs w:val="28"/>
          <w:lang w:eastAsia="ru-RU"/>
        </w:rPr>
        <w:t>: снижение активации воспалительного процесса, темпа прогрессирования рентгенологических изменений.</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sz w:val="28"/>
          <w:szCs w:val="28"/>
          <w:lang w:eastAsia="ru-RU"/>
        </w:rPr>
        <w:t> </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p>
    <w:p w:rsidR="00B97A7C" w:rsidRPr="00B97A7C" w:rsidRDefault="00B97A7C" w:rsidP="00D85C55">
      <w:pPr>
        <w:shd w:val="clear" w:color="auto" w:fill="6A9FBE"/>
        <w:spacing w:after="0" w:line="360" w:lineRule="auto"/>
        <w:ind w:firstLine="709"/>
        <w:jc w:val="center"/>
        <w:outlineLvl w:val="1"/>
        <w:rPr>
          <w:rFonts w:ascii="Times New Roman" w:eastAsia="Times New Roman" w:hAnsi="Times New Roman" w:cs="Times New Roman"/>
          <w:b/>
          <w:bCs/>
          <w:color w:val="FFFFFF"/>
          <w:sz w:val="28"/>
          <w:szCs w:val="28"/>
          <w:lang w:eastAsia="ru-RU"/>
        </w:rPr>
      </w:pPr>
      <w:r w:rsidRPr="00B97A7C">
        <w:rPr>
          <w:rFonts w:ascii="Times New Roman" w:eastAsia="Times New Roman" w:hAnsi="Times New Roman" w:cs="Times New Roman"/>
          <w:b/>
          <w:bCs/>
          <w:color w:val="FFFFFF"/>
          <w:sz w:val="28"/>
          <w:szCs w:val="28"/>
          <w:lang w:eastAsia="ru-RU"/>
        </w:rPr>
        <w:t>Госпитализация</w:t>
      </w:r>
    </w:p>
    <w:p w:rsidR="00B97A7C" w:rsidRPr="00B97A7C" w:rsidRDefault="00B97A7C" w:rsidP="00D85C55">
      <w:pPr>
        <w:spacing w:after="0" w:line="360" w:lineRule="auto"/>
        <w:ind w:firstLine="709"/>
        <w:rPr>
          <w:rFonts w:ascii="Times New Roman" w:eastAsia="Times New Roman" w:hAnsi="Times New Roman" w:cs="Times New Roman"/>
          <w:sz w:val="28"/>
          <w:szCs w:val="28"/>
          <w:lang w:eastAsia="ru-RU"/>
        </w:rPr>
      </w:pPr>
      <w:r w:rsidRPr="00B97A7C">
        <w:rPr>
          <w:rFonts w:ascii="Times New Roman" w:eastAsia="Times New Roman" w:hAnsi="Times New Roman" w:cs="Times New Roman"/>
          <w:sz w:val="28"/>
          <w:szCs w:val="28"/>
          <w:lang w:eastAsia="ru-RU"/>
        </w:rPr>
        <w:br/>
      </w:r>
      <w:r w:rsidRPr="00D85C55">
        <w:rPr>
          <w:rFonts w:ascii="Times New Roman" w:eastAsia="Times New Roman" w:hAnsi="Times New Roman" w:cs="Times New Roman"/>
          <w:b/>
          <w:bCs/>
          <w:sz w:val="28"/>
          <w:szCs w:val="28"/>
          <w:lang w:eastAsia="ru-RU"/>
        </w:rPr>
        <w:t>Показания к госпитализации:</w:t>
      </w:r>
      <w:r w:rsidRPr="00B97A7C">
        <w:rPr>
          <w:rFonts w:ascii="Times New Roman" w:eastAsia="Times New Roman" w:hAnsi="Times New Roman" w:cs="Times New Roman"/>
          <w:sz w:val="28"/>
          <w:szCs w:val="28"/>
          <w:lang w:eastAsia="ru-RU"/>
        </w:rPr>
        <w:br/>
        <w:t>1. Подтверждение диагноза и оценка прогноза.</w:t>
      </w:r>
      <w:r w:rsidRPr="00B97A7C">
        <w:rPr>
          <w:rFonts w:ascii="Times New Roman" w:eastAsia="Times New Roman" w:hAnsi="Times New Roman" w:cs="Times New Roman"/>
          <w:sz w:val="28"/>
          <w:szCs w:val="28"/>
          <w:lang w:eastAsia="ru-RU"/>
        </w:rPr>
        <w:br/>
        <w:t xml:space="preserve">2. Подбор </w:t>
      </w:r>
      <w:proofErr w:type="spellStart"/>
      <w:r w:rsidRPr="00B97A7C">
        <w:rPr>
          <w:rFonts w:ascii="Times New Roman" w:eastAsia="Times New Roman" w:hAnsi="Times New Roman" w:cs="Times New Roman"/>
          <w:sz w:val="28"/>
          <w:szCs w:val="28"/>
          <w:lang w:eastAsia="ru-RU"/>
        </w:rPr>
        <w:t>иммуносупрессивной</w:t>
      </w:r>
      <w:proofErr w:type="spellEnd"/>
      <w:r w:rsidRPr="00B97A7C">
        <w:rPr>
          <w:rFonts w:ascii="Times New Roman" w:eastAsia="Times New Roman" w:hAnsi="Times New Roman" w:cs="Times New Roman"/>
          <w:sz w:val="28"/>
          <w:szCs w:val="28"/>
          <w:lang w:eastAsia="ru-RU"/>
        </w:rPr>
        <w:t xml:space="preserve"> терапии.</w:t>
      </w:r>
      <w:r w:rsidRPr="00B97A7C">
        <w:rPr>
          <w:rFonts w:ascii="Times New Roman" w:eastAsia="Times New Roman" w:hAnsi="Times New Roman" w:cs="Times New Roman"/>
          <w:sz w:val="28"/>
          <w:szCs w:val="28"/>
          <w:lang w:eastAsia="ru-RU"/>
        </w:rPr>
        <w:br/>
        <w:t xml:space="preserve">3. </w:t>
      </w:r>
      <w:proofErr w:type="spellStart"/>
      <w:r w:rsidRPr="00B97A7C">
        <w:rPr>
          <w:rFonts w:ascii="Times New Roman" w:eastAsia="Times New Roman" w:hAnsi="Times New Roman" w:cs="Times New Roman"/>
          <w:sz w:val="28"/>
          <w:szCs w:val="28"/>
          <w:lang w:eastAsia="ru-RU"/>
        </w:rPr>
        <w:t>Некупирующееся</w:t>
      </w:r>
      <w:proofErr w:type="spellEnd"/>
      <w:r w:rsidRPr="00B97A7C">
        <w:rPr>
          <w:rFonts w:ascii="Times New Roman" w:eastAsia="Times New Roman" w:hAnsi="Times New Roman" w:cs="Times New Roman"/>
          <w:sz w:val="28"/>
          <w:szCs w:val="28"/>
          <w:lang w:eastAsia="ru-RU"/>
        </w:rPr>
        <w:t xml:space="preserve"> в амбулаторных условиях обострение АС.</w:t>
      </w:r>
      <w:r w:rsidRPr="00B97A7C">
        <w:rPr>
          <w:rFonts w:ascii="Times New Roman" w:eastAsia="Times New Roman" w:hAnsi="Times New Roman" w:cs="Times New Roman"/>
          <w:sz w:val="28"/>
          <w:szCs w:val="28"/>
          <w:lang w:eastAsia="ru-RU"/>
        </w:rPr>
        <w:br/>
        <w:t>4. Развитие осложнений.</w:t>
      </w:r>
    </w:p>
    <w:p w:rsidR="00E95DFF" w:rsidRDefault="00E95DFF" w:rsidP="00B97A7C">
      <w:pPr>
        <w:ind w:firstLine="567"/>
      </w:pPr>
      <w:r>
        <w:tab/>
      </w: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95DFF" w:rsidRDefault="00E95DFF" w:rsidP="00B97A7C">
      <w:pPr>
        <w:ind w:firstLine="567"/>
      </w:pPr>
    </w:p>
    <w:p w:rsidR="00E15825" w:rsidRDefault="00E15825" w:rsidP="00E15825">
      <w:pPr>
        <w:pStyle w:val="a5"/>
        <w:shd w:val="clear" w:color="auto" w:fill="FFFFFF"/>
        <w:spacing w:before="0" w:beforeAutospacing="0" w:after="0" w:afterAutospacing="0" w:line="360" w:lineRule="auto"/>
        <w:ind w:firstLine="709"/>
        <w:jc w:val="center"/>
        <w:rPr>
          <w:b/>
          <w:sz w:val="32"/>
          <w:szCs w:val="28"/>
          <w:lang w:val="en-US"/>
        </w:rPr>
      </w:pPr>
      <w:r w:rsidRPr="00D85C55">
        <w:rPr>
          <w:b/>
          <w:sz w:val="32"/>
          <w:szCs w:val="28"/>
          <w:lang w:val="en-US"/>
        </w:rPr>
        <w:lastRenderedPageBreak/>
        <w:t xml:space="preserve">SERONEGATIVE SPONDYLOARTHRITIDES. </w:t>
      </w:r>
      <w:r>
        <w:rPr>
          <w:b/>
          <w:sz w:val="32"/>
          <w:szCs w:val="28"/>
          <w:lang w:val="en-US"/>
        </w:rPr>
        <w:t xml:space="preserve"> </w:t>
      </w:r>
    </w:p>
    <w:p w:rsidR="00E15825" w:rsidRPr="00E15825" w:rsidRDefault="00E15825" w:rsidP="00E15825">
      <w:pPr>
        <w:pStyle w:val="a5"/>
        <w:shd w:val="clear" w:color="auto" w:fill="FFFFFF"/>
        <w:spacing w:before="0" w:beforeAutospacing="0" w:after="0" w:afterAutospacing="0" w:line="360" w:lineRule="auto"/>
        <w:ind w:firstLine="709"/>
        <w:jc w:val="center"/>
        <w:rPr>
          <w:b/>
          <w:color w:val="1C1D1E"/>
          <w:sz w:val="28"/>
          <w:szCs w:val="28"/>
          <w:lang w:val="en-US"/>
        </w:rPr>
      </w:pPr>
      <w:r w:rsidRPr="00E15825">
        <w:rPr>
          <w:b/>
          <w:color w:val="1C1D1E"/>
          <w:sz w:val="28"/>
          <w:szCs w:val="28"/>
          <w:lang w:val="en-US"/>
        </w:rPr>
        <w:t>ANKYLOSING SPONDYLITIS</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Ankylosing spondylitis (AS) is a form of chronic inflammatory arthritis characterized by </w:t>
      </w:r>
      <w:proofErr w:type="spellStart"/>
      <w:r w:rsidRPr="00E15825">
        <w:rPr>
          <w:color w:val="1C1D1E"/>
          <w:sz w:val="28"/>
          <w:szCs w:val="28"/>
          <w:lang w:val="en-US"/>
        </w:rPr>
        <w:t>sacroiliitis</w:t>
      </w:r>
      <w:proofErr w:type="spellEnd"/>
      <w:r w:rsidRPr="00E15825">
        <w:rPr>
          <w:color w:val="1C1D1E"/>
          <w:sz w:val="28"/>
          <w:szCs w:val="28"/>
          <w:lang w:val="en-US"/>
        </w:rPr>
        <w:t xml:space="preserve">, </w:t>
      </w:r>
      <w:proofErr w:type="spellStart"/>
      <w:r w:rsidRPr="00E15825">
        <w:rPr>
          <w:color w:val="1C1D1E"/>
          <w:sz w:val="28"/>
          <w:szCs w:val="28"/>
          <w:lang w:val="en-US"/>
        </w:rPr>
        <w:t>enthesitis</w:t>
      </w:r>
      <w:proofErr w:type="spellEnd"/>
      <w:r w:rsidRPr="00E15825">
        <w:rPr>
          <w:color w:val="1C1D1E"/>
          <w:sz w:val="28"/>
          <w:szCs w:val="28"/>
          <w:lang w:val="en-US"/>
        </w:rPr>
        <w:t>, and a marked propensity for sacroiliac joint and spinal fusion </w:t>
      </w:r>
      <w:hyperlink r:id="rId5" w:anchor="acr22708-bib-0001" w:history="1">
        <w:r w:rsidRPr="00E15825">
          <w:rPr>
            <w:rStyle w:val="a6"/>
            <w:color w:val="005293"/>
            <w:sz w:val="28"/>
            <w:szCs w:val="28"/>
            <w:lang w:val="en-US"/>
          </w:rPr>
          <w:t>1</w:t>
        </w:r>
      </w:hyperlink>
      <w:r w:rsidRPr="00E15825">
        <w:rPr>
          <w:color w:val="1C1D1E"/>
          <w:sz w:val="28"/>
          <w:szCs w:val="28"/>
          <w:lang w:val="en-US"/>
        </w:rPr>
        <w:t xml:space="preserve">. AS is a condition in the </w:t>
      </w:r>
      <w:proofErr w:type="spellStart"/>
      <w:r w:rsidRPr="00E15825">
        <w:rPr>
          <w:color w:val="1C1D1E"/>
          <w:sz w:val="28"/>
          <w:szCs w:val="28"/>
          <w:lang w:val="en-US"/>
        </w:rPr>
        <w:t>spondyloarthritis</w:t>
      </w:r>
      <w:proofErr w:type="spellEnd"/>
      <w:r w:rsidRPr="00E15825">
        <w:rPr>
          <w:color w:val="1C1D1E"/>
          <w:sz w:val="28"/>
          <w:szCs w:val="28"/>
          <w:lang w:val="en-US"/>
        </w:rPr>
        <w:t xml:space="preserve"> (</w:t>
      </w:r>
      <w:proofErr w:type="spellStart"/>
      <w:r w:rsidRPr="00E15825">
        <w:rPr>
          <w:color w:val="1C1D1E"/>
          <w:sz w:val="28"/>
          <w:szCs w:val="28"/>
          <w:lang w:val="en-US"/>
        </w:rPr>
        <w:t>SpA</w:t>
      </w:r>
      <w:proofErr w:type="spellEnd"/>
      <w:r w:rsidRPr="00E15825">
        <w:rPr>
          <w:color w:val="1C1D1E"/>
          <w:sz w:val="28"/>
          <w:szCs w:val="28"/>
          <w:lang w:val="en-US"/>
        </w:rPr>
        <w:t>) family of diseases, which share several clinical, genetic, and immunologic features </w:t>
      </w:r>
      <w:hyperlink r:id="rId6" w:anchor="acr22708-bib-0002" w:history="1">
        <w:proofErr w:type="gramStart"/>
        <w:r w:rsidRPr="00E15825">
          <w:rPr>
            <w:rStyle w:val="a6"/>
            <w:color w:val="005293"/>
            <w:sz w:val="28"/>
            <w:szCs w:val="28"/>
            <w:lang w:val="en-US"/>
          </w:rPr>
          <w:t>2</w:t>
        </w:r>
        <w:proofErr w:type="gramEnd"/>
      </w:hyperlink>
      <w:r w:rsidRPr="00E15825">
        <w:rPr>
          <w:color w:val="1C1D1E"/>
          <w:sz w:val="28"/>
          <w:szCs w:val="28"/>
          <w:lang w:val="en-US"/>
        </w:rPr>
        <w:t xml:space="preserve">. AS is distinguished in this family by universal involvement with sacroiliac joint inflammation or fusion, and more prevalent spinal </w:t>
      </w:r>
      <w:proofErr w:type="spellStart"/>
      <w:r w:rsidRPr="00E15825">
        <w:rPr>
          <w:color w:val="1C1D1E"/>
          <w:sz w:val="28"/>
          <w:szCs w:val="28"/>
          <w:lang w:val="en-US"/>
        </w:rPr>
        <w:t>ankylosis</w:t>
      </w:r>
      <w:proofErr w:type="spellEnd"/>
      <w:r w:rsidRPr="00E15825">
        <w:rPr>
          <w:color w:val="1C1D1E"/>
          <w:sz w:val="28"/>
          <w:szCs w:val="28"/>
          <w:lang w:val="en-US"/>
        </w:rPr>
        <w:t> </w:t>
      </w:r>
      <w:hyperlink r:id="rId7" w:anchor="acr22708-bib-0003" w:history="1">
        <w:r w:rsidRPr="00E15825">
          <w:rPr>
            <w:rStyle w:val="a6"/>
            <w:color w:val="005293"/>
            <w:sz w:val="28"/>
            <w:szCs w:val="28"/>
            <w:lang w:val="en-US"/>
          </w:rPr>
          <w:t>3</w:t>
        </w:r>
      </w:hyperlink>
      <w:proofErr w:type="gramStart"/>
      <w:r w:rsidRPr="00E15825">
        <w:rPr>
          <w:color w:val="1C1D1E"/>
          <w:sz w:val="28"/>
          <w:szCs w:val="28"/>
          <w:lang w:val="en-US"/>
        </w:rPr>
        <w:t>;</w:t>
      </w:r>
      <w:proofErr w:type="gramEnd"/>
      <w:r w:rsidRPr="00E15825">
        <w:rPr>
          <w:color w:val="1C1D1E"/>
          <w:sz w:val="28"/>
          <w:szCs w:val="28"/>
          <w:lang w:val="en-US"/>
        </w:rPr>
        <w:t xml:space="preserve"> these more advanced sacroiliac changes form the core of the modified New York criteria for the classification of AS </w:t>
      </w:r>
      <w:hyperlink r:id="rId8" w:anchor="acr22708-bib-0004" w:history="1">
        <w:r w:rsidRPr="00E15825">
          <w:rPr>
            <w:rStyle w:val="a6"/>
            <w:color w:val="005293"/>
            <w:sz w:val="28"/>
            <w:szCs w:val="28"/>
            <w:lang w:val="en-US"/>
          </w:rPr>
          <w:t>4</w:t>
        </w:r>
      </w:hyperlink>
      <w:r w:rsidRPr="00E15825">
        <w:rPr>
          <w:color w:val="1C1D1E"/>
          <w:sz w:val="28"/>
          <w:szCs w:val="28"/>
          <w:lang w:val="en-US"/>
        </w:rPr>
        <w:t>. Radiographic features may take years to develop, which limits these classification criteria by potentially excluding patients early in the disease course.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color w:val="1C1D1E"/>
          <w:sz w:val="28"/>
          <w:szCs w:val="28"/>
          <w:lang w:val="en-US"/>
        </w:rPr>
        <w:t xml:space="preserve">Recently, the Assessment of </w:t>
      </w:r>
      <w:proofErr w:type="spellStart"/>
      <w:r w:rsidRPr="00E15825">
        <w:rPr>
          <w:color w:val="1C1D1E"/>
          <w:sz w:val="28"/>
          <w:szCs w:val="28"/>
          <w:lang w:val="en-US"/>
        </w:rPr>
        <w:t>SpondyloArthritis</w:t>
      </w:r>
      <w:proofErr w:type="spellEnd"/>
      <w:r w:rsidRPr="00E15825">
        <w:rPr>
          <w:color w:val="1C1D1E"/>
          <w:sz w:val="28"/>
          <w:szCs w:val="28"/>
          <w:lang w:val="en-US"/>
        </w:rPr>
        <w:t xml:space="preserve"> international Society (ASAS) proposed </w:t>
      </w:r>
      <w:r w:rsidRPr="00E15825">
        <w:rPr>
          <w:sz w:val="28"/>
          <w:szCs w:val="28"/>
          <w:lang w:val="en-US"/>
        </w:rPr>
        <w:t xml:space="preserve">classification criteria that apply to both patients in the early stage of the disease and those in the later stages, included under the umbrella term axial </w:t>
      </w:r>
      <w:proofErr w:type="spellStart"/>
      <w:r w:rsidRPr="00E15825">
        <w:rPr>
          <w:sz w:val="28"/>
          <w:szCs w:val="28"/>
          <w:lang w:val="en-US"/>
        </w:rPr>
        <w:t>SpA</w:t>
      </w:r>
      <w:proofErr w:type="spellEnd"/>
      <w:r w:rsidRPr="00E15825">
        <w:rPr>
          <w:sz w:val="28"/>
          <w:szCs w:val="28"/>
          <w:lang w:val="en-US"/>
        </w:rPr>
        <w:t> </w:t>
      </w:r>
      <w:hyperlink r:id="rId9" w:anchor="acr22708-bib-0005" w:history="1">
        <w:r w:rsidRPr="00E15825">
          <w:rPr>
            <w:rStyle w:val="a6"/>
            <w:color w:val="auto"/>
            <w:sz w:val="28"/>
            <w:szCs w:val="28"/>
            <w:u w:val="none"/>
            <w:lang w:val="en-US"/>
          </w:rPr>
          <w:t>5</w:t>
        </w:r>
      </w:hyperlink>
      <w:r w:rsidRPr="00E15825">
        <w:rPr>
          <w:sz w:val="28"/>
          <w:szCs w:val="28"/>
          <w:lang w:val="en-US"/>
        </w:rPr>
        <w:t xml:space="preserve">. These criteria follow the rubric of prior criteria for the </w:t>
      </w:r>
      <w:proofErr w:type="spellStart"/>
      <w:r w:rsidRPr="00E15825">
        <w:rPr>
          <w:sz w:val="28"/>
          <w:szCs w:val="28"/>
          <w:lang w:val="en-US"/>
        </w:rPr>
        <w:t>SpA</w:t>
      </w:r>
      <w:proofErr w:type="spellEnd"/>
      <w:r w:rsidRPr="00E15825">
        <w:rPr>
          <w:sz w:val="28"/>
          <w:szCs w:val="28"/>
          <w:lang w:val="en-US"/>
        </w:rPr>
        <w:t xml:space="preserve"> family of diseases </w:t>
      </w:r>
      <w:hyperlink r:id="rId10" w:anchor="acr22708-bib-0006" w:history="1">
        <w:r w:rsidRPr="00E15825">
          <w:rPr>
            <w:rStyle w:val="a6"/>
            <w:color w:val="auto"/>
            <w:sz w:val="28"/>
            <w:szCs w:val="28"/>
            <w:u w:val="none"/>
            <w:lang w:val="en-US"/>
          </w:rPr>
          <w:t>6</w:t>
        </w:r>
      </w:hyperlink>
      <w:r w:rsidRPr="00E15825">
        <w:rPr>
          <w:sz w:val="28"/>
          <w:szCs w:val="28"/>
          <w:lang w:val="en-US"/>
        </w:rPr>
        <w:t>, </w:t>
      </w:r>
      <w:hyperlink r:id="rId11" w:anchor="acr22708-bib-0007" w:history="1">
        <w:r w:rsidRPr="00E15825">
          <w:rPr>
            <w:rStyle w:val="a6"/>
            <w:color w:val="auto"/>
            <w:sz w:val="28"/>
            <w:szCs w:val="28"/>
            <w:u w:val="none"/>
            <w:lang w:val="en-US"/>
          </w:rPr>
          <w:t>7</w:t>
        </w:r>
      </w:hyperlink>
      <w:r w:rsidRPr="00E15825">
        <w:rPr>
          <w:sz w:val="28"/>
          <w:szCs w:val="28"/>
          <w:lang w:val="en-US"/>
        </w:rPr>
        <w:t>. In this classification, the designation “</w:t>
      </w:r>
      <w:proofErr w:type="spellStart"/>
      <w:r w:rsidRPr="00E15825">
        <w:rPr>
          <w:sz w:val="28"/>
          <w:szCs w:val="28"/>
          <w:lang w:val="en-US"/>
        </w:rPr>
        <w:t>nonradiographic</w:t>
      </w:r>
      <w:proofErr w:type="spellEnd"/>
      <w:r w:rsidRPr="00E15825">
        <w:rPr>
          <w:sz w:val="28"/>
          <w:szCs w:val="28"/>
          <w:lang w:val="en-US"/>
        </w:rPr>
        <w:t xml:space="preserve"> axial </w:t>
      </w:r>
      <w:proofErr w:type="spellStart"/>
      <w:r w:rsidRPr="00E15825">
        <w:rPr>
          <w:sz w:val="28"/>
          <w:szCs w:val="28"/>
          <w:lang w:val="en-US"/>
        </w:rPr>
        <w:t>SpA</w:t>
      </w:r>
      <w:proofErr w:type="spellEnd"/>
      <w:r w:rsidRPr="00E15825">
        <w:rPr>
          <w:sz w:val="28"/>
          <w:szCs w:val="28"/>
          <w:lang w:val="en-US"/>
        </w:rPr>
        <w:t xml:space="preserve">” encompasses patients who have chronic back pain and features suggestive of </w:t>
      </w:r>
      <w:proofErr w:type="spellStart"/>
      <w:r w:rsidRPr="00E15825">
        <w:rPr>
          <w:sz w:val="28"/>
          <w:szCs w:val="28"/>
          <w:lang w:val="en-US"/>
        </w:rPr>
        <w:t>SpA</w:t>
      </w:r>
      <w:proofErr w:type="spellEnd"/>
      <w:r w:rsidRPr="00E15825">
        <w:rPr>
          <w:sz w:val="28"/>
          <w:szCs w:val="28"/>
          <w:lang w:val="en-US"/>
        </w:rPr>
        <w:t xml:space="preserve"> but who do not meet the classification criteria for AS.</w:t>
      </w:r>
    </w:p>
    <w:p w:rsidR="00E95DFF" w:rsidRPr="00E15825" w:rsidRDefault="00E95DFF" w:rsidP="00E15825">
      <w:pPr>
        <w:pStyle w:val="2"/>
        <w:pBdr>
          <w:bottom w:val="single" w:sz="6" w:space="0" w:color="A2A9B1"/>
        </w:pBdr>
        <w:shd w:val="clear" w:color="auto" w:fill="FFFFFF"/>
        <w:spacing w:before="0" w:beforeAutospacing="0" w:after="0" w:afterAutospacing="0" w:line="360" w:lineRule="auto"/>
        <w:ind w:firstLine="709"/>
        <w:rPr>
          <w:bCs w:val="0"/>
          <w:sz w:val="28"/>
          <w:szCs w:val="28"/>
          <w:lang w:val="en-US"/>
        </w:rPr>
      </w:pPr>
      <w:r w:rsidRPr="00E15825">
        <w:rPr>
          <w:rStyle w:val="mw-headline"/>
          <w:bCs w:val="0"/>
          <w:sz w:val="28"/>
          <w:szCs w:val="28"/>
          <w:lang w:val="en-US"/>
        </w:rPr>
        <w:t>Epidemiology</w:t>
      </w:r>
    </w:p>
    <w:p w:rsidR="00E95DFF" w:rsidRPr="00E15825" w:rsidRDefault="00E95DFF" w:rsidP="00E15825">
      <w:pPr>
        <w:pStyle w:val="a5"/>
        <w:shd w:val="clear" w:color="auto" w:fill="FFFFFF"/>
        <w:spacing w:before="0" w:beforeAutospacing="0" w:after="0" w:afterAutospacing="0" w:line="360" w:lineRule="auto"/>
        <w:ind w:firstLine="709"/>
        <w:rPr>
          <w:b/>
          <w:sz w:val="28"/>
          <w:szCs w:val="28"/>
          <w:lang w:val="en-US"/>
        </w:rPr>
      </w:pPr>
      <w:r w:rsidRPr="00E15825">
        <w:rPr>
          <w:sz w:val="28"/>
          <w:szCs w:val="28"/>
          <w:lang w:val="en-US"/>
        </w:rPr>
        <w:t>Between 0.1% and 1.8% of people are affected.</w:t>
      </w:r>
      <w:hyperlink r:id="rId12" w:anchor="cite_note-Kh2009-3" w:history="1">
        <w:r w:rsidRPr="00E15825">
          <w:rPr>
            <w:rStyle w:val="a6"/>
            <w:color w:val="auto"/>
            <w:sz w:val="28"/>
            <w:szCs w:val="28"/>
            <w:u w:val="none"/>
            <w:vertAlign w:val="superscript"/>
            <w:lang w:val="en-US"/>
          </w:rPr>
          <w:t>[3]</w:t>
        </w:r>
      </w:hyperlink>
      <w:r w:rsidRPr="00E15825">
        <w:rPr>
          <w:sz w:val="28"/>
          <w:szCs w:val="28"/>
          <w:lang w:val="en-US"/>
        </w:rPr>
        <w:t> The disease is most common in Northern European countries, and seen least in people of Afro-Caribbean descent.</w:t>
      </w:r>
      <w:hyperlink r:id="rId13" w:anchor="cite_note-Patient_UK_7-9" w:history="1">
        <w:r w:rsidRPr="00E15825">
          <w:rPr>
            <w:rStyle w:val="a6"/>
            <w:color w:val="auto"/>
            <w:sz w:val="28"/>
            <w:szCs w:val="28"/>
            <w:u w:val="none"/>
            <w:vertAlign w:val="superscript"/>
            <w:lang w:val="en-US"/>
          </w:rPr>
          <w:t>[9]</w:t>
        </w:r>
      </w:hyperlink>
      <w:r w:rsidRPr="00E15825">
        <w:rPr>
          <w:sz w:val="28"/>
          <w:szCs w:val="28"/>
          <w:lang w:val="en-US"/>
        </w:rPr>
        <w:t>Although the ratio of male to female disease is reportedly 3:1,</w:t>
      </w:r>
      <w:hyperlink r:id="rId14" w:anchor="cite_note-Patient_UK_7-9" w:history="1">
        <w:r w:rsidRPr="00E15825">
          <w:rPr>
            <w:rStyle w:val="a6"/>
            <w:color w:val="auto"/>
            <w:sz w:val="28"/>
            <w:szCs w:val="28"/>
            <w:u w:val="none"/>
            <w:vertAlign w:val="superscript"/>
            <w:lang w:val="en-US"/>
          </w:rPr>
          <w:t>[9]</w:t>
        </w:r>
      </w:hyperlink>
      <w:r w:rsidRPr="00E15825">
        <w:rPr>
          <w:sz w:val="28"/>
          <w:szCs w:val="28"/>
          <w:lang w:val="en-US"/>
        </w:rPr>
        <w:t> many </w:t>
      </w:r>
      <w:hyperlink r:id="rId15" w:tooltip="Rheumatologist" w:history="1">
        <w:r w:rsidRPr="00E15825">
          <w:rPr>
            <w:rStyle w:val="a6"/>
            <w:color w:val="auto"/>
            <w:sz w:val="28"/>
            <w:szCs w:val="28"/>
            <w:u w:val="none"/>
            <w:lang w:val="en-US"/>
          </w:rPr>
          <w:t>rheumatologists</w:t>
        </w:r>
      </w:hyperlink>
      <w:r w:rsidRPr="00E15825">
        <w:rPr>
          <w:sz w:val="28"/>
          <w:szCs w:val="28"/>
          <w:lang w:val="en-US"/>
        </w:rPr>
        <w:t> believe the number of women with AS is underdiagnosed, as most women tend to experience milder cases of the disease. The majority of people with AS, including 95 percent of people of European descent with the disease, express the </w:t>
      </w:r>
      <w:hyperlink r:id="rId16" w:tooltip="HLA-B27" w:history="1">
        <w:r w:rsidRPr="00E15825">
          <w:rPr>
            <w:rStyle w:val="a6"/>
            <w:color w:val="auto"/>
            <w:sz w:val="28"/>
            <w:szCs w:val="28"/>
            <w:u w:val="none"/>
            <w:lang w:val="en-US"/>
          </w:rPr>
          <w:t>HLA-B27</w:t>
        </w:r>
      </w:hyperlink>
      <w:proofErr w:type="gramStart"/>
      <w:r w:rsidRPr="00E15825">
        <w:rPr>
          <w:sz w:val="28"/>
          <w:szCs w:val="28"/>
          <w:lang w:val="en-US"/>
        </w:rPr>
        <w:t>antigen</w:t>
      </w:r>
      <w:proofErr w:type="gramEnd"/>
      <w:r w:rsidRPr="00E15825">
        <w:rPr>
          <w:sz w:val="28"/>
          <w:szCs w:val="28"/>
          <w:vertAlign w:val="superscript"/>
        </w:rPr>
        <w:fldChar w:fldCharType="begin"/>
      </w:r>
      <w:r w:rsidRPr="00E15825">
        <w:rPr>
          <w:sz w:val="28"/>
          <w:szCs w:val="28"/>
          <w:vertAlign w:val="superscript"/>
          <w:lang w:val="en-US"/>
        </w:rPr>
        <w:instrText xml:space="preserve"> HYPERLINK "https://en.wikipedia.org/wiki/Ankylosing_spondylitis" \l "cite_note-Cecil-43" </w:instrText>
      </w:r>
      <w:r w:rsidRPr="00E15825">
        <w:rPr>
          <w:sz w:val="28"/>
          <w:szCs w:val="28"/>
          <w:vertAlign w:val="superscript"/>
        </w:rPr>
        <w:fldChar w:fldCharType="separate"/>
      </w:r>
      <w:r w:rsidRPr="00E15825">
        <w:rPr>
          <w:rStyle w:val="a6"/>
          <w:color w:val="auto"/>
          <w:sz w:val="28"/>
          <w:szCs w:val="28"/>
          <w:u w:val="none"/>
          <w:vertAlign w:val="superscript"/>
          <w:lang w:val="en-US"/>
        </w:rPr>
        <w:t>[43]</w:t>
      </w:r>
      <w:r w:rsidRPr="00E15825">
        <w:rPr>
          <w:sz w:val="28"/>
          <w:szCs w:val="28"/>
          <w:vertAlign w:val="superscript"/>
        </w:rPr>
        <w:fldChar w:fldCharType="end"/>
      </w:r>
      <w:r w:rsidRPr="00E15825">
        <w:rPr>
          <w:sz w:val="28"/>
          <w:szCs w:val="28"/>
          <w:lang w:val="en-US"/>
        </w:rPr>
        <w:t> and high levels of </w:t>
      </w:r>
      <w:hyperlink r:id="rId17" w:tooltip="Immunoglobulin A" w:history="1">
        <w:r w:rsidRPr="00E15825">
          <w:rPr>
            <w:rStyle w:val="a6"/>
            <w:color w:val="auto"/>
            <w:sz w:val="28"/>
            <w:szCs w:val="28"/>
            <w:u w:val="none"/>
            <w:lang w:val="en-US"/>
          </w:rPr>
          <w:t>immunoglobulin A</w:t>
        </w:r>
      </w:hyperlink>
      <w:r w:rsidR="00E15825">
        <w:rPr>
          <w:sz w:val="28"/>
          <w:szCs w:val="28"/>
          <w:lang w:val="en-US"/>
        </w:rPr>
        <w:t> (IgA) in the blood</w:t>
      </w:r>
    </w:p>
    <w:p w:rsidR="00E15825" w:rsidRPr="00E15825" w:rsidRDefault="00E15825" w:rsidP="00E15825">
      <w:pPr>
        <w:pStyle w:val="2"/>
        <w:pBdr>
          <w:bottom w:val="single" w:sz="6" w:space="0" w:color="A2A9B1"/>
        </w:pBdr>
        <w:shd w:val="clear" w:color="auto" w:fill="FFFFFF"/>
        <w:spacing w:before="0" w:beforeAutospacing="0" w:after="0" w:afterAutospacing="0" w:line="360" w:lineRule="auto"/>
        <w:ind w:firstLine="709"/>
        <w:rPr>
          <w:bCs w:val="0"/>
          <w:sz w:val="28"/>
          <w:szCs w:val="28"/>
          <w:lang w:val="en-US"/>
        </w:rPr>
      </w:pPr>
      <w:r w:rsidRPr="00E15825">
        <w:rPr>
          <w:rStyle w:val="mw-headline"/>
          <w:bCs w:val="0"/>
          <w:sz w:val="28"/>
          <w:szCs w:val="28"/>
          <w:lang w:val="en-US"/>
        </w:rPr>
        <w:t>Pathophysiology</w:t>
      </w:r>
    </w:p>
    <w:p w:rsidR="00E15825" w:rsidRPr="00E15825" w:rsidRDefault="00E15825" w:rsidP="00E15825">
      <w:pPr>
        <w:spacing w:after="0" w:line="360" w:lineRule="auto"/>
        <w:ind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The </w:t>
      </w:r>
      <w:proofErr w:type="spellStart"/>
      <w:r w:rsidRPr="00E15825">
        <w:rPr>
          <w:rFonts w:ascii="Times New Roman" w:hAnsi="Times New Roman" w:cs="Times New Roman"/>
          <w:sz w:val="28"/>
          <w:szCs w:val="28"/>
        </w:rPr>
        <w:fldChar w:fldCharType="begin"/>
      </w:r>
      <w:r w:rsidRPr="00E15825">
        <w:rPr>
          <w:rFonts w:ascii="Times New Roman" w:hAnsi="Times New Roman" w:cs="Times New Roman"/>
          <w:sz w:val="28"/>
          <w:szCs w:val="28"/>
          <w:lang w:val="en-US"/>
        </w:rPr>
        <w:instrText xml:space="preserve"> HYPERLINK "https://en.wikipedia.org/wiki/Ankylosis" \o "Ankylosis" </w:instrText>
      </w:r>
      <w:r w:rsidRPr="00E15825">
        <w:rPr>
          <w:rFonts w:ascii="Times New Roman" w:hAnsi="Times New Roman" w:cs="Times New Roman"/>
          <w:sz w:val="28"/>
          <w:szCs w:val="28"/>
        </w:rPr>
        <w:fldChar w:fldCharType="separate"/>
      </w:r>
      <w:r w:rsidRPr="00E15825">
        <w:rPr>
          <w:rStyle w:val="a6"/>
          <w:rFonts w:ascii="Times New Roman" w:hAnsi="Times New Roman" w:cs="Times New Roman"/>
          <w:color w:val="auto"/>
          <w:sz w:val="28"/>
          <w:szCs w:val="28"/>
          <w:u w:val="none"/>
          <w:lang w:val="en-US"/>
        </w:rPr>
        <w:t>ankylosis</w:t>
      </w:r>
      <w:proofErr w:type="spellEnd"/>
      <w:r w:rsidRPr="00E15825">
        <w:rPr>
          <w:rFonts w:ascii="Times New Roman" w:hAnsi="Times New Roman" w:cs="Times New Roman"/>
          <w:sz w:val="28"/>
          <w:szCs w:val="28"/>
        </w:rPr>
        <w:fldChar w:fldCharType="end"/>
      </w:r>
      <w:r w:rsidRPr="00E15825">
        <w:rPr>
          <w:rFonts w:ascii="Times New Roman" w:hAnsi="Times New Roman" w:cs="Times New Roman"/>
          <w:sz w:val="28"/>
          <w:szCs w:val="28"/>
          <w:lang w:val="en-US"/>
        </w:rPr>
        <w:t> process</w:t>
      </w:r>
      <w:r>
        <w:rPr>
          <w:rFonts w:ascii="Times New Roman" w:hAnsi="Times New Roman" w:cs="Times New Roman"/>
          <w:sz w:val="28"/>
          <w:szCs w:val="28"/>
          <w:lang w:val="en-US"/>
        </w:rPr>
        <w:t xml:space="preserve"> </w:t>
      </w:r>
      <w:r w:rsidRPr="00E15825">
        <w:rPr>
          <w:rFonts w:ascii="Times New Roman" w:hAnsi="Times New Roman" w:cs="Times New Roman"/>
          <w:sz w:val="28"/>
          <w:szCs w:val="28"/>
          <w:lang w:val="en-US"/>
        </w:rPr>
        <w:t>Ankylosing </w:t>
      </w:r>
      <w:hyperlink r:id="rId18" w:tooltip="Spondylitis" w:history="1">
        <w:r w:rsidRPr="00E15825">
          <w:rPr>
            <w:rStyle w:val="a6"/>
            <w:rFonts w:ascii="Times New Roman" w:hAnsi="Times New Roman" w:cs="Times New Roman"/>
            <w:color w:val="auto"/>
            <w:sz w:val="28"/>
            <w:szCs w:val="28"/>
            <w:u w:val="none"/>
            <w:lang w:val="en-US"/>
          </w:rPr>
          <w:t>spondylitis</w:t>
        </w:r>
      </w:hyperlink>
      <w:r w:rsidRPr="00E15825">
        <w:rPr>
          <w:rFonts w:ascii="Times New Roman" w:hAnsi="Times New Roman" w:cs="Times New Roman"/>
          <w:sz w:val="28"/>
          <w:szCs w:val="28"/>
          <w:lang w:val="en-US"/>
        </w:rPr>
        <w:t> (AS) is a systemic rheumatic disease, meaning it affects the entire body. Approximately 90% of people with AS express the </w:t>
      </w:r>
      <w:hyperlink r:id="rId19" w:tooltip="HLA-B27" w:history="1">
        <w:r w:rsidRPr="00E15825">
          <w:rPr>
            <w:rStyle w:val="a6"/>
            <w:rFonts w:ascii="Times New Roman" w:hAnsi="Times New Roman" w:cs="Times New Roman"/>
            <w:color w:val="auto"/>
            <w:sz w:val="28"/>
            <w:szCs w:val="28"/>
            <w:u w:val="none"/>
            <w:lang w:val="en-US"/>
          </w:rPr>
          <w:t>HLA-B27</w:t>
        </w:r>
      </w:hyperlink>
      <w:r w:rsidRPr="00E15825">
        <w:rPr>
          <w:rFonts w:ascii="Times New Roman" w:hAnsi="Times New Roman" w:cs="Times New Roman"/>
          <w:sz w:val="28"/>
          <w:szCs w:val="28"/>
          <w:lang w:val="en-US"/>
        </w:rPr>
        <w:t xml:space="preserve"> genotype, meaning there is a strong genetic association. 1–2% </w:t>
      </w:r>
      <w:r w:rsidRPr="00E15825">
        <w:rPr>
          <w:rFonts w:ascii="Times New Roman" w:hAnsi="Times New Roman" w:cs="Times New Roman"/>
          <w:sz w:val="28"/>
          <w:szCs w:val="28"/>
          <w:lang w:val="en-US"/>
        </w:rPr>
        <w:lastRenderedPageBreak/>
        <w:t>of individuals with the HLA-B27 genotype develop the disease.</w:t>
      </w:r>
      <w:hyperlink r:id="rId20" w:anchor="cite_note-Patient_UK_5-12" w:history="1">
        <w:r w:rsidRPr="00E15825">
          <w:rPr>
            <w:rStyle w:val="a6"/>
            <w:rFonts w:ascii="Times New Roman" w:hAnsi="Times New Roman" w:cs="Times New Roman"/>
            <w:color w:val="auto"/>
            <w:sz w:val="28"/>
            <w:szCs w:val="28"/>
            <w:u w:val="none"/>
            <w:vertAlign w:val="superscript"/>
            <w:lang w:val="en-US"/>
          </w:rPr>
          <w:t>[12]</w:t>
        </w:r>
      </w:hyperlink>
      <w:r w:rsidRPr="00E15825">
        <w:rPr>
          <w:rFonts w:ascii="Times New Roman" w:hAnsi="Times New Roman" w:cs="Times New Roman"/>
          <w:sz w:val="28"/>
          <w:szCs w:val="28"/>
          <w:lang w:val="en-US"/>
        </w:rPr>
        <w:t> </w:t>
      </w:r>
      <w:hyperlink r:id="rId21" w:tooltip="Tumor necrosis factor-alpha" w:history="1">
        <w:r w:rsidRPr="00E15825">
          <w:rPr>
            <w:rStyle w:val="a6"/>
            <w:rFonts w:ascii="Times New Roman" w:hAnsi="Times New Roman" w:cs="Times New Roman"/>
            <w:color w:val="auto"/>
            <w:sz w:val="28"/>
            <w:szCs w:val="28"/>
            <w:u w:val="none"/>
            <w:lang w:val="en-US"/>
          </w:rPr>
          <w:t>Tumor necrosis factor-alpha</w:t>
        </w:r>
      </w:hyperlink>
      <w:r w:rsidRPr="00E15825">
        <w:rPr>
          <w:rFonts w:ascii="Times New Roman" w:hAnsi="Times New Roman" w:cs="Times New Roman"/>
          <w:sz w:val="28"/>
          <w:szCs w:val="28"/>
          <w:lang w:val="en-US"/>
        </w:rPr>
        <w:t xml:space="preserve"> (TNF </w:t>
      </w:r>
      <w:r w:rsidRPr="00E15825">
        <w:rPr>
          <w:rFonts w:ascii="Times New Roman" w:hAnsi="Times New Roman" w:cs="Times New Roman"/>
          <w:sz w:val="28"/>
          <w:szCs w:val="28"/>
        </w:rPr>
        <w:t>α</w:t>
      </w:r>
      <w:r w:rsidRPr="00E15825">
        <w:rPr>
          <w:rFonts w:ascii="Times New Roman" w:hAnsi="Times New Roman" w:cs="Times New Roman"/>
          <w:sz w:val="28"/>
          <w:szCs w:val="28"/>
          <w:lang w:val="en-US"/>
        </w:rPr>
        <w:t>) and </w:t>
      </w:r>
      <w:hyperlink r:id="rId22" w:tooltip="Interleukin 1" w:history="1">
        <w:r w:rsidRPr="00E15825">
          <w:rPr>
            <w:rStyle w:val="a6"/>
            <w:rFonts w:ascii="Times New Roman" w:hAnsi="Times New Roman" w:cs="Times New Roman"/>
            <w:color w:val="auto"/>
            <w:sz w:val="28"/>
            <w:szCs w:val="28"/>
            <w:u w:val="none"/>
            <w:lang w:val="en-US"/>
          </w:rPr>
          <w:t>IL-1</w:t>
        </w:r>
      </w:hyperlink>
      <w:r w:rsidRPr="00E15825">
        <w:rPr>
          <w:rFonts w:ascii="Times New Roman" w:hAnsi="Times New Roman" w:cs="Times New Roman"/>
          <w:sz w:val="28"/>
          <w:szCs w:val="28"/>
          <w:lang w:val="en-US"/>
        </w:rPr>
        <w:t> </w:t>
      </w:r>
      <w:proofErr w:type="gramStart"/>
      <w:r w:rsidRPr="00E15825">
        <w:rPr>
          <w:rFonts w:ascii="Times New Roman" w:hAnsi="Times New Roman" w:cs="Times New Roman"/>
          <w:sz w:val="28"/>
          <w:szCs w:val="28"/>
          <w:lang w:val="en-US"/>
        </w:rPr>
        <w:t>are also</w:t>
      </w:r>
      <w:proofErr w:type="gramEnd"/>
      <w:r w:rsidRPr="00E15825">
        <w:rPr>
          <w:rFonts w:ascii="Times New Roman" w:hAnsi="Times New Roman" w:cs="Times New Roman"/>
          <w:sz w:val="28"/>
          <w:szCs w:val="28"/>
          <w:lang w:val="en-US"/>
        </w:rPr>
        <w:t xml:space="preserve"> implicated in ankylosing spondylitis. Autoantibodies specific for AS have not been identified. </w:t>
      </w:r>
      <w:hyperlink r:id="rId23" w:tooltip="Anti-neutrophil cytoplasmic antibody" w:history="1">
        <w:r w:rsidRPr="00E15825">
          <w:rPr>
            <w:rStyle w:val="a6"/>
            <w:rFonts w:ascii="Times New Roman" w:hAnsi="Times New Roman" w:cs="Times New Roman"/>
            <w:color w:val="auto"/>
            <w:sz w:val="28"/>
            <w:szCs w:val="28"/>
            <w:u w:val="none"/>
            <w:lang w:val="en-US"/>
          </w:rPr>
          <w:t xml:space="preserve">Anti-neutrophil cytoplasmic </w:t>
        </w:r>
        <w:proofErr w:type="gramStart"/>
        <w:r w:rsidRPr="00E15825">
          <w:rPr>
            <w:rStyle w:val="a6"/>
            <w:rFonts w:ascii="Times New Roman" w:hAnsi="Times New Roman" w:cs="Times New Roman"/>
            <w:color w:val="auto"/>
            <w:sz w:val="28"/>
            <w:szCs w:val="28"/>
            <w:u w:val="none"/>
            <w:lang w:val="en-US"/>
          </w:rPr>
          <w:t>antibodies</w:t>
        </w:r>
        <w:proofErr w:type="gramEnd"/>
      </w:hyperlink>
      <w:r w:rsidRPr="00E15825">
        <w:rPr>
          <w:rFonts w:ascii="Times New Roman" w:hAnsi="Times New Roman" w:cs="Times New Roman"/>
          <w:sz w:val="28"/>
          <w:szCs w:val="28"/>
          <w:lang w:val="en-US"/>
        </w:rPr>
        <w:t>(ANCAs) are associated with AS, but do not correlate with disease severity.</w:t>
      </w:r>
    </w:p>
    <w:p w:rsidR="00E15825" w:rsidRPr="00E15825" w:rsidRDefault="00E15825" w:rsidP="00E15825">
      <w:pPr>
        <w:pStyle w:val="a5"/>
        <w:shd w:val="clear" w:color="auto" w:fill="FFFFFF"/>
        <w:spacing w:before="0" w:beforeAutospacing="0" w:after="0" w:afterAutospacing="0" w:line="360" w:lineRule="auto"/>
        <w:ind w:firstLine="709"/>
        <w:rPr>
          <w:sz w:val="28"/>
          <w:szCs w:val="28"/>
          <w:lang w:val="en-US"/>
        </w:rPr>
      </w:pPr>
      <w:hyperlink r:id="rId24" w:tooltip="Single nucleotide polymorphism" w:history="1">
        <w:r w:rsidRPr="00E15825">
          <w:rPr>
            <w:rStyle w:val="a6"/>
            <w:color w:val="auto"/>
            <w:sz w:val="28"/>
            <w:szCs w:val="28"/>
            <w:u w:val="none"/>
            <w:lang w:val="en-US"/>
          </w:rPr>
          <w:t>Single nucleotide polymorphism</w:t>
        </w:r>
      </w:hyperlink>
      <w:r w:rsidRPr="00E15825">
        <w:rPr>
          <w:sz w:val="28"/>
          <w:szCs w:val="28"/>
          <w:lang w:val="en-US"/>
        </w:rPr>
        <w:t> (SNP) A/G variant rs10440635</w:t>
      </w:r>
      <w:hyperlink r:id="rId25" w:anchor="cite_note-13" w:history="1">
        <w:r w:rsidRPr="00E15825">
          <w:rPr>
            <w:rStyle w:val="a6"/>
            <w:color w:val="auto"/>
            <w:sz w:val="28"/>
            <w:szCs w:val="28"/>
            <w:u w:val="none"/>
            <w:vertAlign w:val="superscript"/>
            <w:lang w:val="en-US"/>
          </w:rPr>
          <w:t>[13]</w:t>
        </w:r>
      </w:hyperlink>
      <w:r w:rsidRPr="00E15825">
        <w:rPr>
          <w:sz w:val="28"/>
          <w:szCs w:val="28"/>
          <w:lang w:val="en-US"/>
        </w:rPr>
        <w:t> close to the </w:t>
      </w:r>
      <w:r w:rsidRPr="00E15825">
        <w:rPr>
          <w:i/>
          <w:iCs/>
          <w:sz w:val="28"/>
          <w:szCs w:val="28"/>
          <w:lang w:val="en-US"/>
        </w:rPr>
        <w:t>PTGER4</w:t>
      </w:r>
      <w:r w:rsidRPr="00E15825">
        <w:rPr>
          <w:sz w:val="28"/>
          <w:szCs w:val="28"/>
          <w:lang w:val="en-US"/>
        </w:rPr>
        <w:t> gene on human chromosome 5 has been associated with an increased incidence of ankylosing spondylitis in a population recruited from the United Kingdom, Australia, and Canada. The </w:t>
      </w:r>
      <w:r w:rsidRPr="00E15825">
        <w:rPr>
          <w:i/>
          <w:iCs/>
          <w:sz w:val="28"/>
          <w:szCs w:val="28"/>
          <w:lang w:val="en-US"/>
        </w:rPr>
        <w:t>PTGER4</w:t>
      </w:r>
      <w:r w:rsidRPr="00E15825">
        <w:rPr>
          <w:sz w:val="28"/>
          <w:szCs w:val="28"/>
          <w:lang w:val="en-US"/>
        </w:rPr>
        <w:t> gene codes for the </w:t>
      </w:r>
      <w:hyperlink r:id="rId26" w:tooltip="Prostaglandin EP4 receptor" w:history="1">
        <w:r w:rsidRPr="00E15825">
          <w:rPr>
            <w:rStyle w:val="a6"/>
            <w:color w:val="auto"/>
            <w:sz w:val="28"/>
            <w:szCs w:val="28"/>
            <w:u w:val="none"/>
            <w:lang w:val="en-US"/>
          </w:rPr>
          <w:t>prostaglandin EP4 receptor (EP4)</w:t>
        </w:r>
      </w:hyperlink>
      <w:r w:rsidRPr="00E15825">
        <w:rPr>
          <w:sz w:val="28"/>
          <w:szCs w:val="28"/>
          <w:lang w:val="en-US"/>
        </w:rPr>
        <w:t>, one of four receptors for </w:t>
      </w:r>
      <w:hyperlink r:id="rId27" w:tooltip="Prostaglandin E2" w:history="1">
        <w:r w:rsidRPr="00E15825">
          <w:rPr>
            <w:rStyle w:val="a6"/>
            <w:color w:val="auto"/>
            <w:sz w:val="28"/>
            <w:szCs w:val="28"/>
            <w:u w:val="none"/>
            <w:lang w:val="en-US"/>
          </w:rPr>
          <w:t>prostaglandin E2</w:t>
        </w:r>
      </w:hyperlink>
      <w:r w:rsidRPr="00E15825">
        <w:rPr>
          <w:sz w:val="28"/>
          <w:szCs w:val="28"/>
          <w:lang w:val="en-US"/>
        </w:rPr>
        <w:t>. Activation of EP4 promotes bone remodeling and deposition (see </w:t>
      </w:r>
      <w:hyperlink r:id="rId28" w:anchor="bone" w:tooltip="Prostaglandin EP4 receptor" w:history="1">
        <w:r w:rsidRPr="00E15825">
          <w:rPr>
            <w:rStyle w:val="a6"/>
            <w:color w:val="auto"/>
            <w:sz w:val="28"/>
            <w:szCs w:val="28"/>
            <w:u w:val="none"/>
            <w:lang w:val="en-US"/>
          </w:rPr>
          <w:t>EP4, bone</w:t>
        </w:r>
      </w:hyperlink>
      <w:r w:rsidRPr="00E15825">
        <w:rPr>
          <w:sz w:val="28"/>
          <w:szCs w:val="28"/>
          <w:lang w:val="en-US"/>
        </w:rPr>
        <w:t>) and EP4 is highly expressed at vertebral column sites involved in ankylosing spondylitis. These findings suggest that excessive EP4 activation contributes to pathological bone remodeling and deposition in ankylosing spondylitis and that the A/G variant rs10440635a of </w:t>
      </w:r>
      <w:r w:rsidRPr="00E15825">
        <w:rPr>
          <w:i/>
          <w:iCs/>
          <w:sz w:val="28"/>
          <w:szCs w:val="28"/>
          <w:lang w:val="en-US"/>
        </w:rPr>
        <w:t>PTGER4</w:t>
      </w:r>
      <w:r w:rsidRPr="00E15825">
        <w:rPr>
          <w:sz w:val="28"/>
          <w:szCs w:val="28"/>
          <w:lang w:val="en-US"/>
        </w:rPr>
        <w:t> predisposes to this disease, possibly by influencing EP4's production or expression pattern.</w:t>
      </w:r>
      <w:hyperlink r:id="rId29" w:anchor="cite_note-pmid21743469-14" w:history="1">
        <w:r w:rsidRPr="00E15825">
          <w:rPr>
            <w:rStyle w:val="a6"/>
            <w:color w:val="auto"/>
            <w:sz w:val="28"/>
            <w:szCs w:val="28"/>
            <w:u w:val="none"/>
            <w:vertAlign w:val="superscript"/>
            <w:lang w:val="en-US"/>
          </w:rPr>
          <w:t>[14</w:t>
        </w:r>
        <w:proofErr w:type="gramStart"/>
        <w:r w:rsidRPr="00E15825">
          <w:rPr>
            <w:rStyle w:val="a6"/>
            <w:color w:val="auto"/>
            <w:sz w:val="28"/>
            <w:szCs w:val="28"/>
            <w:u w:val="none"/>
            <w:vertAlign w:val="superscript"/>
            <w:lang w:val="en-US"/>
          </w:rPr>
          <w:t>]</w:t>
        </w:r>
        <w:proofErr w:type="gramEnd"/>
      </w:hyperlink>
      <w:hyperlink r:id="rId30" w:anchor="cite_note-pmid25935456-15" w:history="1">
        <w:r w:rsidRPr="00E15825">
          <w:rPr>
            <w:rStyle w:val="a6"/>
            <w:color w:val="auto"/>
            <w:sz w:val="28"/>
            <w:szCs w:val="28"/>
            <w:u w:val="none"/>
            <w:vertAlign w:val="superscript"/>
            <w:lang w:val="en-US"/>
          </w:rPr>
          <w:t>[15]</w:t>
        </w:r>
      </w:hyperlink>
    </w:p>
    <w:p w:rsidR="00E15825" w:rsidRPr="00E15825" w:rsidRDefault="00E15825" w:rsidP="00E15825">
      <w:pPr>
        <w:pStyle w:val="a5"/>
        <w:shd w:val="clear" w:color="auto" w:fill="FFFFFF"/>
        <w:spacing w:before="0" w:beforeAutospacing="0" w:after="0" w:afterAutospacing="0" w:line="360" w:lineRule="auto"/>
        <w:ind w:firstLine="709"/>
        <w:rPr>
          <w:sz w:val="28"/>
          <w:szCs w:val="28"/>
          <w:lang w:val="en-US"/>
        </w:rPr>
      </w:pPr>
      <w:proofErr w:type="gramStart"/>
      <w:r w:rsidRPr="00E15825">
        <w:rPr>
          <w:sz w:val="28"/>
          <w:szCs w:val="28"/>
          <w:lang w:val="en-US"/>
        </w:rPr>
        <w:t>The association of AS with HLA-B27 suggests the condition involves CD8 T cells, which interact with HLA-B.</w:t>
      </w:r>
      <w:r w:rsidRPr="00E15825">
        <w:rPr>
          <w:sz w:val="28"/>
          <w:szCs w:val="28"/>
          <w:vertAlign w:val="superscript"/>
          <w:lang w:val="en-US"/>
        </w:rPr>
        <w:t>[</w:t>
      </w:r>
      <w:hyperlink r:id="rId31" w:tooltip="Wikipedia:Citation needed" w:history="1">
        <w:r w:rsidRPr="00E15825">
          <w:rPr>
            <w:rStyle w:val="a6"/>
            <w:i/>
            <w:iCs/>
            <w:color w:val="auto"/>
            <w:sz w:val="28"/>
            <w:szCs w:val="28"/>
            <w:u w:val="none"/>
            <w:vertAlign w:val="superscript"/>
            <w:lang w:val="en-US"/>
          </w:rPr>
          <w:t>citation needed</w:t>
        </w:r>
      </w:hyperlink>
      <w:r w:rsidRPr="00E15825">
        <w:rPr>
          <w:sz w:val="28"/>
          <w:szCs w:val="28"/>
          <w:vertAlign w:val="superscript"/>
          <w:lang w:val="en-US"/>
        </w:rPr>
        <w:t>]</w:t>
      </w:r>
      <w:r w:rsidRPr="00E15825">
        <w:rPr>
          <w:sz w:val="28"/>
          <w:szCs w:val="28"/>
          <w:lang w:val="en-US"/>
        </w:rPr>
        <w:t> This interaction is not proven to involve a self-antigen, and at least in the related </w:t>
      </w:r>
      <w:hyperlink r:id="rId32" w:tooltip="Reactive arthritis" w:history="1">
        <w:r w:rsidRPr="00E15825">
          <w:rPr>
            <w:rStyle w:val="a6"/>
            <w:color w:val="auto"/>
            <w:sz w:val="28"/>
            <w:szCs w:val="28"/>
            <w:u w:val="none"/>
            <w:lang w:val="en-US"/>
          </w:rPr>
          <w:t>reactive arthritis</w:t>
        </w:r>
      </w:hyperlink>
      <w:r w:rsidRPr="00E15825">
        <w:rPr>
          <w:sz w:val="28"/>
          <w:szCs w:val="28"/>
          <w:lang w:val="en-US"/>
        </w:rPr>
        <w:t>, which follows infections, the antigens involved are likely to be derived from intracellular microorganisms.</w:t>
      </w:r>
      <w:r w:rsidRPr="00E15825">
        <w:rPr>
          <w:sz w:val="28"/>
          <w:szCs w:val="28"/>
          <w:vertAlign w:val="superscript"/>
          <w:lang w:val="en-US"/>
        </w:rPr>
        <w:t>[</w:t>
      </w:r>
      <w:hyperlink r:id="rId33" w:tooltip="Wikipedia:Citation needed" w:history="1">
        <w:r w:rsidRPr="00E15825">
          <w:rPr>
            <w:rStyle w:val="a6"/>
            <w:i/>
            <w:iCs/>
            <w:color w:val="auto"/>
            <w:sz w:val="28"/>
            <w:szCs w:val="28"/>
            <w:u w:val="none"/>
            <w:vertAlign w:val="superscript"/>
            <w:lang w:val="en-US"/>
          </w:rPr>
          <w:t>citation needed</w:t>
        </w:r>
      </w:hyperlink>
      <w:r w:rsidRPr="00E15825">
        <w:rPr>
          <w:sz w:val="28"/>
          <w:szCs w:val="28"/>
          <w:vertAlign w:val="superscript"/>
          <w:lang w:val="en-US"/>
        </w:rPr>
        <w:t>]</w:t>
      </w:r>
      <w:r w:rsidRPr="00E15825">
        <w:rPr>
          <w:sz w:val="28"/>
          <w:szCs w:val="28"/>
          <w:lang w:val="en-US"/>
        </w:rPr>
        <w:t> There is, however, a possibility that </w:t>
      </w:r>
      <w:hyperlink r:id="rId34" w:tooltip="CD4+ T lymphocytes" w:history="1">
        <w:r w:rsidRPr="00E15825">
          <w:rPr>
            <w:rStyle w:val="a6"/>
            <w:color w:val="auto"/>
            <w:sz w:val="28"/>
            <w:szCs w:val="28"/>
            <w:u w:val="none"/>
            <w:lang w:val="en-US"/>
          </w:rPr>
          <w:t>CD4+ T lymphocytes</w:t>
        </w:r>
      </w:hyperlink>
      <w:r w:rsidRPr="00E15825">
        <w:rPr>
          <w:sz w:val="28"/>
          <w:szCs w:val="28"/>
          <w:lang w:val="en-US"/>
        </w:rPr>
        <w:t> are involved in an aberrant way, since HLA-B27 appears to have a number of unusual properties, including possibly an ability to interact with T cell receptors in association with CD4 (usually </w:t>
      </w:r>
      <w:hyperlink r:id="rId35" w:tooltip="CD8+ cytotoxic T cell" w:history="1">
        <w:r w:rsidRPr="00E15825">
          <w:rPr>
            <w:rStyle w:val="a6"/>
            <w:color w:val="auto"/>
            <w:sz w:val="28"/>
            <w:szCs w:val="28"/>
            <w:u w:val="none"/>
            <w:lang w:val="en-US"/>
          </w:rPr>
          <w:t>CD8+ cytotoxic T cell</w:t>
        </w:r>
      </w:hyperlink>
      <w:r w:rsidRPr="00E15825">
        <w:rPr>
          <w:sz w:val="28"/>
          <w:szCs w:val="28"/>
          <w:lang w:val="en-US"/>
        </w:rPr>
        <w:t> with HLAB antigen as it is a </w:t>
      </w:r>
      <w:hyperlink r:id="rId36" w:tooltip="MHC class I" w:history="1">
        <w:r w:rsidRPr="00E15825">
          <w:rPr>
            <w:rStyle w:val="a6"/>
            <w:color w:val="auto"/>
            <w:sz w:val="28"/>
            <w:szCs w:val="28"/>
            <w:u w:val="none"/>
            <w:lang w:val="en-US"/>
          </w:rPr>
          <w:t>MHC class 1 antigen</w:t>
        </w:r>
      </w:hyperlink>
      <w:r w:rsidRPr="00E15825">
        <w:rPr>
          <w:sz w:val="28"/>
          <w:szCs w:val="28"/>
          <w:lang w:val="en-US"/>
        </w:rPr>
        <w:t>).</w:t>
      </w:r>
      <w:proofErr w:type="gramEnd"/>
    </w:p>
    <w:p w:rsidR="00E15825" w:rsidRPr="00E15825" w:rsidRDefault="00E15825"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"Bamboo spine" develops when the outer fibers of the </w:t>
      </w:r>
      <w:hyperlink r:id="rId37" w:tooltip="Anulus fibrosus disci intervertebralis" w:history="1">
        <w:r w:rsidRPr="00E15825">
          <w:rPr>
            <w:rStyle w:val="a6"/>
            <w:color w:val="auto"/>
            <w:sz w:val="28"/>
            <w:szCs w:val="28"/>
            <w:u w:val="none"/>
            <w:lang w:val="en-US"/>
          </w:rPr>
          <w:t>fibrous ring</w:t>
        </w:r>
      </w:hyperlink>
      <w:r w:rsidRPr="00E15825">
        <w:rPr>
          <w:sz w:val="28"/>
          <w:szCs w:val="28"/>
          <w:lang w:val="en-US"/>
        </w:rPr>
        <w:t> (</w:t>
      </w:r>
      <w:r w:rsidRPr="00E15825">
        <w:rPr>
          <w:i/>
          <w:iCs/>
          <w:sz w:val="28"/>
          <w:szCs w:val="28"/>
          <w:lang w:val="en-US"/>
        </w:rPr>
        <w:t xml:space="preserve">annulus </w:t>
      </w:r>
      <w:proofErr w:type="spellStart"/>
      <w:r w:rsidRPr="00E15825">
        <w:rPr>
          <w:i/>
          <w:iCs/>
          <w:sz w:val="28"/>
          <w:szCs w:val="28"/>
          <w:lang w:val="en-US"/>
        </w:rPr>
        <w:t>fibrosus</w:t>
      </w:r>
      <w:proofErr w:type="spellEnd"/>
      <w:r w:rsidRPr="00E15825">
        <w:rPr>
          <w:i/>
          <w:iCs/>
          <w:sz w:val="28"/>
          <w:szCs w:val="28"/>
          <w:lang w:val="en-US"/>
        </w:rPr>
        <w:t xml:space="preserve"> </w:t>
      </w:r>
      <w:proofErr w:type="spellStart"/>
      <w:r w:rsidRPr="00E15825">
        <w:rPr>
          <w:i/>
          <w:iCs/>
          <w:sz w:val="28"/>
          <w:szCs w:val="28"/>
          <w:lang w:val="en-US"/>
        </w:rPr>
        <w:t>disci</w:t>
      </w:r>
      <w:proofErr w:type="spellEnd"/>
      <w:r w:rsidRPr="00E15825">
        <w:rPr>
          <w:i/>
          <w:iCs/>
          <w:sz w:val="28"/>
          <w:szCs w:val="28"/>
          <w:lang w:val="en-US"/>
        </w:rPr>
        <w:t xml:space="preserve"> </w:t>
      </w:r>
      <w:proofErr w:type="spellStart"/>
      <w:r w:rsidRPr="00E15825">
        <w:rPr>
          <w:i/>
          <w:iCs/>
          <w:sz w:val="28"/>
          <w:szCs w:val="28"/>
          <w:lang w:val="en-US"/>
        </w:rPr>
        <w:t>intervertebralis</w:t>
      </w:r>
      <w:proofErr w:type="spellEnd"/>
      <w:r w:rsidRPr="00E15825">
        <w:rPr>
          <w:sz w:val="28"/>
          <w:szCs w:val="28"/>
          <w:lang w:val="en-US"/>
        </w:rPr>
        <w:t>) of the </w:t>
      </w:r>
      <w:hyperlink r:id="rId38" w:tooltip="Intervertebral disc" w:history="1">
        <w:r w:rsidRPr="00E15825">
          <w:rPr>
            <w:rStyle w:val="a6"/>
            <w:color w:val="auto"/>
            <w:sz w:val="28"/>
            <w:szCs w:val="28"/>
            <w:u w:val="none"/>
            <w:lang w:val="en-US"/>
          </w:rPr>
          <w:t>intervertebral discs</w:t>
        </w:r>
      </w:hyperlink>
      <w:r w:rsidRPr="00E15825">
        <w:rPr>
          <w:sz w:val="28"/>
          <w:szCs w:val="28"/>
          <w:lang w:val="en-US"/>
        </w:rPr>
        <w:t> ossify, which results in the formation of marginal </w:t>
      </w:r>
      <w:proofErr w:type="spellStart"/>
      <w:r w:rsidRPr="00E15825">
        <w:rPr>
          <w:sz w:val="28"/>
          <w:szCs w:val="28"/>
        </w:rPr>
        <w:fldChar w:fldCharType="begin"/>
      </w:r>
      <w:r w:rsidRPr="00E15825">
        <w:rPr>
          <w:sz w:val="28"/>
          <w:szCs w:val="28"/>
          <w:lang w:val="en-US"/>
        </w:rPr>
        <w:instrText xml:space="preserve"> HYPERLINK "https://en.wikipedia.org/wiki/Syndesmophyte" \o "Syndesmophyte" </w:instrText>
      </w:r>
      <w:r w:rsidRPr="00E15825">
        <w:rPr>
          <w:sz w:val="28"/>
          <w:szCs w:val="28"/>
        </w:rPr>
        <w:fldChar w:fldCharType="separate"/>
      </w:r>
      <w:r w:rsidRPr="00E15825">
        <w:rPr>
          <w:rStyle w:val="a6"/>
          <w:color w:val="auto"/>
          <w:sz w:val="28"/>
          <w:szCs w:val="28"/>
          <w:u w:val="none"/>
          <w:lang w:val="en-US"/>
        </w:rPr>
        <w:t>syndesmophytes</w:t>
      </w:r>
      <w:proofErr w:type="spellEnd"/>
      <w:r w:rsidRPr="00E15825">
        <w:rPr>
          <w:sz w:val="28"/>
          <w:szCs w:val="28"/>
        </w:rPr>
        <w:fldChar w:fldCharType="end"/>
      </w:r>
      <w:r w:rsidRPr="00E15825">
        <w:rPr>
          <w:sz w:val="28"/>
          <w:szCs w:val="28"/>
          <w:lang w:val="en-US"/>
        </w:rPr>
        <w:t> between adjoining vertebrae.</w:t>
      </w:r>
    </w:p>
    <w:p w:rsidR="00E95DFF" w:rsidRPr="00E15825" w:rsidRDefault="00E15825" w:rsidP="00E15825">
      <w:pPr>
        <w:pStyle w:val="2"/>
        <w:pBdr>
          <w:bottom w:val="single" w:sz="6" w:space="0" w:color="A2A9B1"/>
        </w:pBdr>
        <w:shd w:val="clear" w:color="auto" w:fill="FFFFFF"/>
        <w:spacing w:before="0" w:beforeAutospacing="0" w:after="0" w:afterAutospacing="0" w:line="360" w:lineRule="auto"/>
        <w:ind w:firstLine="709"/>
        <w:rPr>
          <w:bCs w:val="0"/>
          <w:sz w:val="28"/>
          <w:szCs w:val="28"/>
          <w:lang w:val="en-US"/>
        </w:rPr>
      </w:pPr>
      <w:r w:rsidRPr="00E15825">
        <w:rPr>
          <w:rStyle w:val="mw-headline"/>
          <w:bCs w:val="0"/>
          <w:sz w:val="28"/>
          <w:szCs w:val="28"/>
          <w:lang w:val="en-US"/>
        </w:rPr>
        <w:t>Signs and symptom</w:t>
      </w:r>
      <w:r>
        <w:rPr>
          <w:rStyle w:val="mw-headline"/>
          <w:bCs w:val="0"/>
          <w:sz w:val="28"/>
          <w:szCs w:val="28"/>
          <w:lang w:val="en-US"/>
        </w:rPr>
        <w:t>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The signs and symptoms of ankylosing spondylitis often appear gradually, with peak onset being between 20 and 30 years of age.</w:t>
      </w:r>
      <w:hyperlink r:id="rId39" w:anchor="cite_note-Patient_UK_7-9" w:history="1">
        <w:r w:rsidRPr="00E15825">
          <w:rPr>
            <w:rStyle w:val="a6"/>
            <w:color w:val="auto"/>
            <w:sz w:val="28"/>
            <w:szCs w:val="28"/>
            <w:u w:val="none"/>
            <w:vertAlign w:val="superscript"/>
            <w:lang w:val="en-US"/>
          </w:rPr>
          <w:t>[9]</w:t>
        </w:r>
      </w:hyperlink>
      <w:r w:rsidRPr="00E15825">
        <w:rPr>
          <w:sz w:val="28"/>
          <w:szCs w:val="28"/>
          <w:lang w:val="en-US"/>
        </w:rPr>
        <w:t> Initial symptoms are usually a </w:t>
      </w:r>
      <w:hyperlink r:id="rId40" w:tooltip="Chronic (medicine)" w:history="1">
        <w:r w:rsidRPr="00E15825">
          <w:rPr>
            <w:rStyle w:val="a6"/>
            <w:color w:val="auto"/>
            <w:sz w:val="28"/>
            <w:szCs w:val="28"/>
            <w:u w:val="none"/>
            <w:lang w:val="en-US"/>
          </w:rPr>
          <w:t>chronic</w:t>
        </w:r>
      </w:hyperlink>
      <w:r w:rsidRPr="00E15825">
        <w:rPr>
          <w:sz w:val="28"/>
          <w:szCs w:val="28"/>
          <w:lang w:val="en-US"/>
        </w:rPr>
        <w:t xml:space="preserve"> dull pain in the lower back or gluteal region combined with stiffness of the </w:t>
      </w:r>
      <w:r w:rsidRPr="00E15825">
        <w:rPr>
          <w:sz w:val="28"/>
          <w:szCs w:val="28"/>
          <w:lang w:val="en-US"/>
        </w:rPr>
        <w:lastRenderedPageBreak/>
        <w:t>lower back.</w:t>
      </w:r>
      <w:hyperlink r:id="rId41" w:anchor="cite_note-10" w:history="1">
        <w:r w:rsidRPr="00E15825">
          <w:rPr>
            <w:rStyle w:val="a6"/>
            <w:color w:val="auto"/>
            <w:sz w:val="28"/>
            <w:szCs w:val="28"/>
            <w:u w:val="none"/>
            <w:vertAlign w:val="superscript"/>
            <w:lang w:val="en-US"/>
          </w:rPr>
          <w:t>[10]</w:t>
        </w:r>
      </w:hyperlink>
      <w:r w:rsidRPr="00E15825">
        <w:rPr>
          <w:sz w:val="28"/>
          <w:szCs w:val="28"/>
          <w:lang w:val="en-US"/>
        </w:rPr>
        <w:t> Individuals often experience pain and stiffness that awakens them in the early morning hours.</w:t>
      </w:r>
      <w:hyperlink r:id="rId42" w:anchor="cite_note-Patient_UK_7-9" w:history="1">
        <w:r w:rsidRPr="00E15825">
          <w:rPr>
            <w:rStyle w:val="a6"/>
            <w:color w:val="auto"/>
            <w:sz w:val="28"/>
            <w:szCs w:val="28"/>
            <w:u w:val="none"/>
            <w:vertAlign w:val="superscript"/>
            <w:lang w:val="en-US"/>
          </w:rPr>
          <w:t>[9]</w:t>
        </w:r>
      </w:hyperlink>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As the disease progresses, loss of spinal mobility and chest expansion, with a limitation of anterior flexion, lateral flexion, and extension of the lumbar spine, </w:t>
      </w:r>
      <w:proofErr w:type="gramStart"/>
      <w:r w:rsidRPr="00E15825">
        <w:rPr>
          <w:sz w:val="28"/>
          <w:szCs w:val="28"/>
          <w:lang w:val="en-US"/>
        </w:rPr>
        <w:t>are seen</w:t>
      </w:r>
      <w:proofErr w:type="gramEnd"/>
      <w:r w:rsidRPr="00E15825">
        <w:rPr>
          <w:sz w:val="28"/>
          <w:szCs w:val="28"/>
          <w:lang w:val="en-US"/>
        </w:rPr>
        <w:t>. Systemic features are common, with weight loss, fever, or fatigue often present.</w:t>
      </w:r>
      <w:hyperlink r:id="rId43" w:anchor="cite_note-Patient_UK_7-9" w:history="1">
        <w:r w:rsidRPr="00E15825">
          <w:rPr>
            <w:rStyle w:val="a6"/>
            <w:color w:val="auto"/>
            <w:sz w:val="28"/>
            <w:szCs w:val="28"/>
            <w:u w:val="none"/>
            <w:vertAlign w:val="superscript"/>
            <w:lang w:val="en-US"/>
          </w:rPr>
          <w:t>[9]</w:t>
        </w:r>
      </w:hyperlink>
      <w:r w:rsidRPr="00E15825">
        <w:rPr>
          <w:sz w:val="28"/>
          <w:szCs w:val="28"/>
          <w:lang w:val="en-US"/>
        </w:rPr>
        <w:t> Pain is often severe at rest but may improve with physical activity, but inflammation and pain to varying degrees may recur regardless of rest and movement.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AS can occur in any part of the spine or the entire spine, often with pain referred to </w:t>
      </w:r>
      <w:proofErr w:type="gramStart"/>
      <w:r w:rsidRPr="00E15825">
        <w:rPr>
          <w:sz w:val="28"/>
          <w:szCs w:val="28"/>
          <w:lang w:val="en-US"/>
        </w:rPr>
        <w:t>one or the other buttock</w:t>
      </w:r>
      <w:proofErr w:type="gramEnd"/>
      <w:r w:rsidRPr="00E15825">
        <w:rPr>
          <w:sz w:val="28"/>
          <w:szCs w:val="28"/>
          <w:lang w:val="en-US"/>
        </w:rPr>
        <w:t xml:space="preserve"> or the back of the thigh from the </w:t>
      </w:r>
      <w:hyperlink r:id="rId44" w:tooltip="Sacroiliac joint" w:history="1">
        <w:r w:rsidRPr="00E15825">
          <w:rPr>
            <w:rStyle w:val="a6"/>
            <w:color w:val="auto"/>
            <w:sz w:val="28"/>
            <w:szCs w:val="28"/>
            <w:u w:val="none"/>
            <w:lang w:val="en-US"/>
          </w:rPr>
          <w:t>sacroiliac joint</w:t>
        </w:r>
      </w:hyperlink>
      <w:r w:rsidRPr="00E15825">
        <w:rPr>
          <w:sz w:val="28"/>
          <w:szCs w:val="28"/>
          <w:lang w:val="en-US"/>
        </w:rPr>
        <w:t>. Arthritis in the hips and shoulders may also occur. When the condition presents before the age of 18, it is more likely to cause pain and swelling of large lower limb joints, such as the knees.</w:t>
      </w:r>
      <w:hyperlink r:id="rId45" w:anchor="cite_note-:0-11" w:history="1">
        <w:r w:rsidRPr="00E15825">
          <w:rPr>
            <w:rStyle w:val="a6"/>
            <w:color w:val="auto"/>
            <w:sz w:val="28"/>
            <w:szCs w:val="28"/>
            <w:u w:val="none"/>
            <w:vertAlign w:val="superscript"/>
            <w:lang w:val="en-US"/>
          </w:rPr>
          <w:t>[11]</w:t>
        </w:r>
      </w:hyperlink>
      <w:r w:rsidRPr="00E15825">
        <w:rPr>
          <w:sz w:val="28"/>
          <w:szCs w:val="28"/>
          <w:lang w:val="en-US"/>
        </w:rPr>
        <w:t> In prepubescent cases, pain and swelling may also manifest in the ankles and feet where </w:t>
      </w:r>
      <w:hyperlink r:id="rId46" w:tooltip="Calcaneal spur" w:history="1">
        <w:r w:rsidRPr="00E15825">
          <w:rPr>
            <w:rStyle w:val="a6"/>
            <w:color w:val="auto"/>
            <w:sz w:val="28"/>
            <w:szCs w:val="28"/>
            <w:u w:val="none"/>
            <w:lang w:val="en-US"/>
          </w:rPr>
          <w:t>heel</w:t>
        </w:r>
      </w:hyperlink>
      <w:r w:rsidRPr="00E15825">
        <w:rPr>
          <w:sz w:val="28"/>
          <w:szCs w:val="28"/>
          <w:lang w:val="en-US"/>
        </w:rPr>
        <w:t> pain and </w:t>
      </w:r>
      <w:proofErr w:type="spellStart"/>
      <w:r w:rsidRPr="00E15825">
        <w:rPr>
          <w:sz w:val="28"/>
          <w:szCs w:val="28"/>
        </w:rPr>
        <w:fldChar w:fldCharType="begin"/>
      </w:r>
      <w:r w:rsidRPr="00E15825">
        <w:rPr>
          <w:sz w:val="28"/>
          <w:szCs w:val="28"/>
          <w:lang w:val="en-US"/>
        </w:rPr>
        <w:instrText xml:space="preserve"> HYPERLINK "https://en.wikipedia.org/wiki/Enthesopathy" \o "Enthesopathy" </w:instrText>
      </w:r>
      <w:r w:rsidRPr="00E15825">
        <w:rPr>
          <w:sz w:val="28"/>
          <w:szCs w:val="28"/>
        </w:rPr>
        <w:fldChar w:fldCharType="separate"/>
      </w:r>
      <w:r w:rsidRPr="00E15825">
        <w:rPr>
          <w:rStyle w:val="a6"/>
          <w:color w:val="auto"/>
          <w:sz w:val="28"/>
          <w:szCs w:val="28"/>
          <w:u w:val="none"/>
          <w:lang w:val="en-US"/>
        </w:rPr>
        <w:t>enthesopathy</w:t>
      </w:r>
      <w:proofErr w:type="spellEnd"/>
      <w:r w:rsidRPr="00E15825">
        <w:rPr>
          <w:sz w:val="28"/>
          <w:szCs w:val="28"/>
        </w:rPr>
        <w:fldChar w:fldCharType="end"/>
      </w:r>
      <w:r w:rsidRPr="00E15825">
        <w:rPr>
          <w:sz w:val="28"/>
          <w:szCs w:val="28"/>
          <w:lang w:val="en-US"/>
        </w:rPr>
        <w:t> commonly develop.</w:t>
      </w:r>
      <w:hyperlink r:id="rId47" w:anchor="cite_note-:0-11" w:history="1">
        <w:r w:rsidRPr="00E15825">
          <w:rPr>
            <w:rStyle w:val="a6"/>
            <w:color w:val="auto"/>
            <w:sz w:val="28"/>
            <w:szCs w:val="28"/>
            <w:u w:val="none"/>
            <w:vertAlign w:val="superscript"/>
            <w:lang w:val="en-US"/>
          </w:rPr>
          <w:t>[11]</w:t>
        </w:r>
      </w:hyperlink>
      <w:r w:rsidRPr="00E15825">
        <w:rPr>
          <w:sz w:val="28"/>
          <w:szCs w:val="28"/>
          <w:lang w:val="en-US"/>
        </w:rPr>
        <w:t> Less commonly </w:t>
      </w:r>
      <w:hyperlink r:id="rId48" w:tooltip="Ectasia" w:history="1">
        <w:r w:rsidRPr="00E15825">
          <w:rPr>
            <w:rStyle w:val="a6"/>
            <w:color w:val="auto"/>
            <w:sz w:val="28"/>
            <w:szCs w:val="28"/>
            <w:u w:val="none"/>
            <w:lang w:val="en-US"/>
          </w:rPr>
          <w:t>ectasia</w:t>
        </w:r>
      </w:hyperlink>
      <w:r w:rsidRPr="00E15825">
        <w:rPr>
          <w:sz w:val="28"/>
          <w:szCs w:val="28"/>
          <w:lang w:val="en-US"/>
        </w:rPr>
        <w:t> of the sacral nerve root sheaths may occur</w:t>
      </w:r>
      <w:proofErr w:type="gramStart"/>
      <w:r w:rsidRPr="00E15825">
        <w:rPr>
          <w:sz w:val="28"/>
          <w:szCs w:val="28"/>
          <w:lang w:val="en-US"/>
        </w:rPr>
        <w:t>.</w:t>
      </w:r>
      <w:r w:rsidRPr="00E15825">
        <w:rPr>
          <w:sz w:val="28"/>
          <w:szCs w:val="28"/>
          <w:vertAlign w:val="superscript"/>
          <w:lang w:val="en-US"/>
        </w:rPr>
        <w:t>[</w:t>
      </w:r>
      <w:proofErr w:type="gramEnd"/>
      <w:r w:rsidRPr="00E15825">
        <w:rPr>
          <w:i/>
          <w:iCs/>
          <w:sz w:val="28"/>
          <w:szCs w:val="28"/>
          <w:vertAlign w:val="superscript"/>
        </w:rPr>
        <w:fldChar w:fldCharType="begin"/>
      </w:r>
      <w:r w:rsidRPr="00E15825">
        <w:rPr>
          <w:i/>
          <w:iCs/>
          <w:sz w:val="28"/>
          <w:szCs w:val="28"/>
          <w:vertAlign w:val="superscript"/>
          <w:lang w:val="en-US"/>
        </w:rPr>
        <w:instrText xml:space="preserve"> HYPERLINK "https://en.wikipedia.org/wiki/Wikipedia:Citation_needed" \o "Wikipedia:Citation needed" </w:instrText>
      </w:r>
      <w:r w:rsidRPr="00E15825">
        <w:rPr>
          <w:i/>
          <w:iCs/>
          <w:sz w:val="28"/>
          <w:szCs w:val="28"/>
          <w:vertAlign w:val="superscript"/>
        </w:rPr>
        <w:fldChar w:fldCharType="separate"/>
      </w:r>
      <w:r w:rsidRPr="00E15825">
        <w:rPr>
          <w:rStyle w:val="a6"/>
          <w:i/>
          <w:iCs/>
          <w:color w:val="auto"/>
          <w:sz w:val="28"/>
          <w:szCs w:val="28"/>
          <w:u w:val="none"/>
          <w:vertAlign w:val="superscript"/>
          <w:lang w:val="en-US"/>
        </w:rPr>
        <w:t>citation needed</w:t>
      </w:r>
      <w:r w:rsidRPr="00E15825">
        <w:rPr>
          <w:i/>
          <w:iCs/>
          <w:sz w:val="28"/>
          <w:szCs w:val="28"/>
          <w:vertAlign w:val="superscript"/>
        </w:rPr>
        <w:fldChar w:fldCharType="end"/>
      </w:r>
      <w:r w:rsidRPr="00E15825">
        <w:rPr>
          <w:sz w:val="28"/>
          <w:szCs w:val="28"/>
          <w:vertAlign w:val="superscript"/>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About 40% of people with AS will also experience </w:t>
      </w:r>
      <w:hyperlink r:id="rId49" w:tooltip="Uveitis" w:history="1">
        <w:r w:rsidRPr="00E15825">
          <w:rPr>
            <w:rStyle w:val="a6"/>
            <w:color w:val="auto"/>
            <w:sz w:val="28"/>
            <w:szCs w:val="28"/>
            <w:u w:val="none"/>
            <w:lang w:val="en-US"/>
          </w:rPr>
          <w:t>inflammation of the anterior chamber of the eye</w:t>
        </w:r>
      </w:hyperlink>
      <w:r w:rsidRPr="00E15825">
        <w:rPr>
          <w:sz w:val="28"/>
          <w:szCs w:val="28"/>
          <w:lang w:val="en-US"/>
        </w:rPr>
        <w:t>, causing eye pain, redness, </w:t>
      </w:r>
      <w:hyperlink r:id="rId50" w:tooltip="Floater" w:history="1">
        <w:r w:rsidRPr="00E15825">
          <w:rPr>
            <w:rStyle w:val="a6"/>
            <w:color w:val="auto"/>
            <w:sz w:val="28"/>
            <w:szCs w:val="28"/>
            <w:u w:val="none"/>
            <w:lang w:val="en-US"/>
          </w:rPr>
          <w:t>floaters</w:t>
        </w:r>
      </w:hyperlink>
      <w:r w:rsidRPr="00E15825">
        <w:rPr>
          <w:sz w:val="28"/>
          <w:szCs w:val="28"/>
          <w:lang w:val="en-US"/>
        </w:rPr>
        <w:t> and </w:t>
      </w:r>
      <w:hyperlink r:id="rId51" w:tooltip="Photophobia" w:history="1">
        <w:r w:rsidRPr="00E15825">
          <w:rPr>
            <w:rStyle w:val="a6"/>
            <w:color w:val="auto"/>
            <w:sz w:val="28"/>
            <w:szCs w:val="28"/>
            <w:u w:val="none"/>
            <w:lang w:val="en-US"/>
          </w:rPr>
          <w:t>sensitivity to light</w:t>
        </w:r>
      </w:hyperlink>
      <w:r w:rsidRPr="00E15825">
        <w:rPr>
          <w:sz w:val="28"/>
          <w:szCs w:val="28"/>
          <w:lang w:val="en-US"/>
        </w:rPr>
        <w:t>. This is thought to be due to the association that both AS and uveitis have with the inheritance of the </w:t>
      </w:r>
      <w:hyperlink r:id="rId52" w:tooltip="HLA-B27" w:history="1">
        <w:r w:rsidRPr="00E15825">
          <w:rPr>
            <w:rStyle w:val="a6"/>
            <w:color w:val="auto"/>
            <w:sz w:val="28"/>
            <w:szCs w:val="28"/>
            <w:u w:val="none"/>
            <w:lang w:val="en-US"/>
          </w:rPr>
          <w:t>HLA-B27</w:t>
        </w:r>
      </w:hyperlink>
      <w:r w:rsidRPr="00E15825">
        <w:rPr>
          <w:sz w:val="28"/>
          <w:szCs w:val="28"/>
          <w:lang w:val="en-US"/>
        </w:rPr>
        <w:t> antigen. </w:t>
      </w:r>
      <w:hyperlink r:id="rId53" w:tooltip="Prostatitis" w:history="1">
        <w:r w:rsidRPr="00E15825">
          <w:rPr>
            <w:rStyle w:val="a6"/>
            <w:color w:val="auto"/>
            <w:sz w:val="28"/>
            <w:szCs w:val="28"/>
            <w:u w:val="none"/>
            <w:lang w:val="en-US"/>
          </w:rPr>
          <w:t>Inflammation of the prostate</w:t>
        </w:r>
      </w:hyperlink>
      <w:r w:rsidRPr="00E15825">
        <w:rPr>
          <w:sz w:val="28"/>
          <w:szCs w:val="28"/>
          <w:lang w:val="en-US"/>
        </w:rPr>
        <w:t> occurs with increased frequency in men. Cardiovascular involvement may include </w:t>
      </w:r>
      <w:hyperlink r:id="rId54" w:tooltip="Aortitis" w:history="1">
        <w:r w:rsidRPr="00E15825">
          <w:rPr>
            <w:rStyle w:val="a6"/>
            <w:color w:val="auto"/>
            <w:sz w:val="28"/>
            <w:szCs w:val="28"/>
            <w:u w:val="none"/>
            <w:lang w:val="en-US"/>
          </w:rPr>
          <w:t>inflammation of the aorta</w:t>
        </w:r>
      </w:hyperlink>
      <w:r w:rsidRPr="00E15825">
        <w:rPr>
          <w:sz w:val="28"/>
          <w:szCs w:val="28"/>
          <w:lang w:val="en-US"/>
        </w:rPr>
        <w:t>, </w:t>
      </w:r>
      <w:hyperlink r:id="rId55" w:tooltip="Aortic valve insufficiency" w:history="1">
        <w:r w:rsidRPr="00E15825">
          <w:rPr>
            <w:rStyle w:val="a6"/>
            <w:color w:val="auto"/>
            <w:sz w:val="28"/>
            <w:szCs w:val="28"/>
            <w:u w:val="none"/>
            <w:lang w:val="en-US"/>
          </w:rPr>
          <w:t>aortic valve insufficiency</w:t>
        </w:r>
      </w:hyperlink>
      <w:r w:rsidRPr="00E15825">
        <w:rPr>
          <w:sz w:val="28"/>
          <w:szCs w:val="28"/>
          <w:lang w:val="en-US"/>
        </w:rPr>
        <w:t> or </w:t>
      </w:r>
      <w:hyperlink r:id="rId56" w:tooltip="Electrical conduction system of the heart" w:history="1">
        <w:r w:rsidRPr="00E15825">
          <w:rPr>
            <w:rStyle w:val="a6"/>
            <w:color w:val="auto"/>
            <w:sz w:val="28"/>
            <w:szCs w:val="28"/>
            <w:u w:val="none"/>
            <w:lang w:val="en-US"/>
          </w:rPr>
          <w:t>disturbances of the heart's electrical conduction system</w:t>
        </w:r>
      </w:hyperlink>
      <w:r w:rsidRPr="00E15825">
        <w:rPr>
          <w:sz w:val="28"/>
          <w:szCs w:val="28"/>
          <w:lang w:val="en-US"/>
        </w:rPr>
        <w:t xml:space="preserve">. Lung involvement </w:t>
      </w:r>
      <w:proofErr w:type="gramStart"/>
      <w:r w:rsidRPr="00E15825">
        <w:rPr>
          <w:sz w:val="28"/>
          <w:szCs w:val="28"/>
          <w:lang w:val="en-US"/>
        </w:rPr>
        <w:t>is characterized</w:t>
      </w:r>
      <w:proofErr w:type="gramEnd"/>
      <w:r w:rsidRPr="00E15825">
        <w:rPr>
          <w:sz w:val="28"/>
          <w:szCs w:val="28"/>
          <w:lang w:val="en-US"/>
        </w:rPr>
        <w:t xml:space="preserve"> by progressive </w:t>
      </w:r>
      <w:hyperlink r:id="rId57" w:tooltip="Lung fibrosis" w:history="1">
        <w:r w:rsidRPr="00E15825">
          <w:rPr>
            <w:rStyle w:val="a6"/>
            <w:color w:val="auto"/>
            <w:sz w:val="28"/>
            <w:szCs w:val="28"/>
            <w:u w:val="none"/>
            <w:lang w:val="en-US"/>
          </w:rPr>
          <w:t>fibrosis</w:t>
        </w:r>
      </w:hyperlink>
      <w:r w:rsidRPr="00E15825">
        <w:rPr>
          <w:sz w:val="28"/>
          <w:szCs w:val="28"/>
          <w:lang w:val="en-US"/>
        </w:rPr>
        <w:t> of the </w:t>
      </w:r>
      <w:hyperlink r:id="rId58" w:tooltip="Apex of lung" w:history="1">
        <w:r w:rsidRPr="00E15825">
          <w:rPr>
            <w:rStyle w:val="a6"/>
            <w:color w:val="auto"/>
            <w:sz w:val="28"/>
            <w:szCs w:val="28"/>
            <w:u w:val="none"/>
            <w:lang w:val="en-US"/>
          </w:rPr>
          <w:t>upper portion of the lung</w:t>
        </w:r>
      </w:hyperlink>
      <w:r w:rsidRPr="00E15825">
        <w:rPr>
          <w:sz w:val="28"/>
          <w:szCs w:val="28"/>
          <w:lang w:val="en-US"/>
        </w:rPr>
        <w:t>.</w:t>
      </w:r>
    </w:p>
    <w:p w:rsidR="00E95DFF" w:rsidRPr="00E15825" w:rsidRDefault="00E95DFF" w:rsidP="00E15825">
      <w:pPr>
        <w:pStyle w:val="2"/>
        <w:pBdr>
          <w:bottom w:val="single" w:sz="6" w:space="0" w:color="A2A9B1"/>
        </w:pBdr>
        <w:shd w:val="clear" w:color="auto" w:fill="FFFFFF"/>
        <w:spacing w:before="0" w:beforeAutospacing="0" w:after="0" w:afterAutospacing="0" w:line="360" w:lineRule="auto"/>
        <w:ind w:firstLine="709"/>
        <w:rPr>
          <w:b w:val="0"/>
          <w:bCs w:val="0"/>
          <w:sz w:val="28"/>
          <w:szCs w:val="28"/>
          <w:lang w:val="en-US"/>
        </w:rPr>
      </w:pPr>
      <w:r w:rsidRPr="00E15825">
        <w:rPr>
          <w:rStyle w:val="mw-headline"/>
          <w:bCs w:val="0"/>
          <w:sz w:val="28"/>
          <w:szCs w:val="28"/>
          <w:lang w:val="en-US"/>
        </w:rPr>
        <w:t>Diagnosis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Ankylosing spondylitis is a member of the more broadly defined disease </w:t>
      </w:r>
      <w:hyperlink r:id="rId59" w:tooltip="Axial spondyloarthritis" w:history="1">
        <w:r w:rsidRPr="00E15825">
          <w:rPr>
            <w:rStyle w:val="a6"/>
            <w:color w:val="auto"/>
            <w:sz w:val="28"/>
            <w:szCs w:val="28"/>
            <w:u w:val="none"/>
            <w:lang w:val="en-US"/>
          </w:rPr>
          <w:t xml:space="preserve">axial </w:t>
        </w:r>
        <w:proofErr w:type="spellStart"/>
        <w:r w:rsidRPr="00E15825">
          <w:rPr>
            <w:rStyle w:val="a6"/>
            <w:color w:val="auto"/>
            <w:sz w:val="28"/>
            <w:szCs w:val="28"/>
            <w:u w:val="none"/>
            <w:lang w:val="en-US"/>
          </w:rPr>
          <w:t>spondyloarthritis</w:t>
        </w:r>
        <w:proofErr w:type="spellEnd"/>
      </w:hyperlink>
      <w:r w:rsidRPr="00E15825">
        <w:rPr>
          <w:sz w:val="28"/>
          <w:szCs w:val="28"/>
          <w:lang w:val="en-US"/>
        </w:rPr>
        <w:t>.</w:t>
      </w:r>
      <w:hyperlink r:id="rId60" w:anchor="cite_note-Classification2009-16" w:history="1">
        <w:r w:rsidRPr="00E15825">
          <w:rPr>
            <w:rStyle w:val="a6"/>
            <w:color w:val="auto"/>
            <w:sz w:val="28"/>
            <w:szCs w:val="28"/>
            <w:u w:val="none"/>
            <w:vertAlign w:val="superscript"/>
            <w:lang w:val="en-US"/>
          </w:rPr>
          <w:t>[16]</w:t>
        </w:r>
      </w:hyperlink>
      <w:r w:rsidRPr="00E15825">
        <w:rPr>
          <w:sz w:val="28"/>
          <w:szCs w:val="28"/>
          <w:lang w:val="en-US"/>
        </w:rPr>
        <w:t xml:space="preserve"> Axial </w:t>
      </w:r>
      <w:proofErr w:type="spellStart"/>
      <w:r w:rsidRPr="00E15825">
        <w:rPr>
          <w:sz w:val="28"/>
          <w:szCs w:val="28"/>
          <w:lang w:val="en-US"/>
        </w:rPr>
        <w:t>spondyloarthritis</w:t>
      </w:r>
      <w:proofErr w:type="spellEnd"/>
      <w:r w:rsidRPr="00E15825">
        <w:rPr>
          <w:sz w:val="28"/>
          <w:szCs w:val="28"/>
          <w:lang w:val="en-US"/>
        </w:rPr>
        <w:t xml:space="preserve"> can be divided into (1) </w:t>
      </w:r>
      <w:hyperlink r:id="rId61" w:tooltip="Radiographic axial spondyloarthritis" w:history="1">
        <w:r w:rsidRPr="00E15825">
          <w:rPr>
            <w:rStyle w:val="a6"/>
            <w:color w:val="auto"/>
            <w:sz w:val="28"/>
            <w:szCs w:val="28"/>
            <w:u w:val="none"/>
            <w:lang w:val="en-US"/>
          </w:rPr>
          <w:t xml:space="preserve">radiographic axial </w:t>
        </w:r>
        <w:proofErr w:type="spellStart"/>
        <w:r w:rsidRPr="00E15825">
          <w:rPr>
            <w:rStyle w:val="a6"/>
            <w:color w:val="auto"/>
            <w:sz w:val="28"/>
            <w:szCs w:val="28"/>
            <w:u w:val="none"/>
            <w:lang w:val="en-US"/>
          </w:rPr>
          <w:t>spondyloarthritis</w:t>
        </w:r>
        <w:proofErr w:type="spellEnd"/>
      </w:hyperlink>
      <w:r w:rsidRPr="00E15825">
        <w:rPr>
          <w:sz w:val="28"/>
          <w:szCs w:val="28"/>
          <w:lang w:val="en-US"/>
        </w:rPr>
        <w:t> (which is a synonym for ankylosing spondylitis) and (2) </w:t>
      </w:r>
      <w:hyperlink r:id="rId62" w:tooltip="Non-radiographic axial spondyloarthritis" w:history="1">
        <w:r w:rsidRPr="00E15825">
          <w:rPr>
            <w:rStyle w:val="a6"/>
            <w:color w:val="auto"/>
            <w:sz w:val="28"/>
            <w:szCs w:val="28"/>
            <w:u w:val="none"/>
            <w:lang w:val="en-US"/>
          </w:rPr>
          <w:t xml:space="preserve">non-radiographic axial </w:t>
        </w:r>
        <w:proofErr w:type="spellStart"/>
        <w:r w:rsidRPr="00E15825">
          <w:rPr>
            <w:rStyle w:val="a6"/>
            <w:color w:val="auto"/>
            <w:sz w:val="28"/>
            <w:szCs w:val="28"/>
            <w:u w:val="none"/>
            <w:lang w:val="en-US"/>
          </w:rPr>
          <w:t>spondyloarthritis</w:t>
        </w:r>
        <w:proofErr w:type="spellEnd"/>
      </w:hyperlink>
      <w:r w:rsidRPr="00E15825">
        <w:rPr>
          <w:sz w:val="28"/>
          <w:szCs w:val="28"/>
          <w:lang w:val="en-US"/>
        </w:rPr>
        <w:t> (which include less severe forms and early stages of ankylosing spondylitis) </w:t>
      </w:r>
      <w:hyperlink r:id="rId63" w:anchor="cite_note-Classification2009-16" w:history="1">
        <w:r w:rsidRPr="00E15825">
          <w:rPr>
            <w:rStyle w:val="a6"/>
            <w:color w:val="auto"/>
            <w:sz w:val="28"/>
            <w:szCs w:val="28"/>
            <w:u w:val="none"/>
            <w:vertAlign w:val="superscript"/>
            <w:lang w:val="en-US"/>
          </w:rPr>
          <w:t>[16]</w:t>
        </w:r>
      </w:hyperlink>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While ankylosing spondylitis can be diagnosed through the description of radiological changes in the </w:t>
      </w:r>
      <w:hyperlink r:id="rId64" w:tooltip="Sacroiliac joint" w:history="1">
        <w:r w:rsidRPr="00E15825">
          <w:rPr>
            <w:rStyle w:val="a6"/>
            <w:color w:val="auto"/>
            <w:sz w:val="28"/>
            <w:szCs w:val="28"/>
            <w:u w:val="none"/>
            <w:lang w:val="en-US"/>
          </w:rPr>
          <w:t>sacroiliac joints</w:t>
        </w:r>
      </w:hyperlink>
      <w:r w:rsidRPr="00E15825">
        <w:rPr>
          <w:sz w:val="28"/>
          <w:szCs w:val="28"/>
          <w:lang w:val="en-US"/>
        </w:rPr>
        <w:t> and </w:t>
      </w:r>
      <w:hyperlink r:id="rId65" w:tooltip="Vertebral column" w:history="1">
        <w:r w:rsidRPr="00E15825">
          <w:rPr>
            <w:rStyle w:val="a6"/>
            <w:color w:val="auto"/>
            <w:sz w:val="28"/>
            <w:szCs w:val="28"/>
            <w:u w:val="none"/>
            <w:lang w:val="en-US"/>
          </w:rPr>
          <w:t>spine</w:t>
        </w:r>
      </w:hyperlink>
      <w:r w:rsidRPr="00E15825">
        <w:rPr>
          <w:sz w:val="28"/>
          <w:szCs w:val="28"/>
          <w:lang w:val="en-US"/>
        </w:rPr>
        <w:t xml:space="preserve">, there are currently no direct tests (blood or imaging) to unambiguously diagnose early forms of ankylosing </w:t>
      </w:r>
      <w:r w:rsidRPr="00E15825">
        <w:rPr>
          <w:sz w:val="28"/>
          <w:szCs w:val="28"/>
          <w:lang w:val="en-US"/>
        </w:rPr>
        <w:lastRenderedPageBreak/>
        <w:t>spondylitis (</w:t>
      </w:r>
      <w:hyperlink r:id="rId66" w:tooltip="Non-radiographic axial spondyloarthritis" w:history="1">
        <w:r w:rsidRPr="00E15825">
          <w:rPr>
            <w:rStyle w:val="a6"/>
            <w:color w:val="auto"/>
            <w:sz w:val="28"/>
            <w:szCs w:val="28"/>
            <w:u w:val="none"/>
            <w:lang w:val="en-US"/>
          </w:rPr>
          <w:t xml:space="preserve">non-radiographic axial </w:t>
        </w:r>
        <w:proofErr w:type="spellStart"/>
        <w:r w:rsidRPr="00E15825">
          <w:rPr>
            <w:rStyle w:val="a6"/>
            <w:color w:val="auto"/>
            <w:sz w:val="28"/>
            <w:szCs w:val="28"/>
            <w:u w:val="none"/>
            <w:lang w:val="en-US"/>
          </w:rPr>
          <w:t>spondyloarthritis</w:t>
        </w:r>
        <w:proofErr w:type="spellEnd"/>
      </w:hyperlink>
      <w:r w:rsidRPr="00E15825">
        <w:rPr>
          <w:sz w:val="28"/>
          <w:szCs w:val="28"/>
          <w:lang w:val="en-US"/>
        </w:rPr>
        <w:t xml:space="preserve">). Diagnosis of non-radiologic axial </w:t>
      </w:r>
      <w:proofErr w:type="spellStart"/>
      <w:r w:rsidRPr="00E15825">
        <w:rPr>
          <w:sz w:val="28"/>
          <w:szCs w:val="28"/>
          <w:lang w:val="en-US"/>
        </w:rPr>
        <w:t>spondyloarthritis</w:t>
      </w:r>
      <w:proofErr w:type="spellEnd"/>
      <w:r w:rsidRPr="00E15825">
        <w:rPr>
          <w:sz w:val="28"/>
          <w:szCs w:val="28"/>
          <w:lang w:val="en-US"/>
        </w:rPr>
        <w:t xml:space="preserve"> is therefore more difficult and </w:t>
      </w:r>
      <w:proofErr w:type="gramStart"/>
      <w:r w:rsidRPr="00E15825">
        <w:rPr>
          <w:sz w:val="28"/>
          <w:szCs w:val="28"/>
          <w:lang w:val="en-US"/>
        </w:rPr>
        <w:t>is based</w:t>
      </w:r>
      <w:proofErr w:type="gramEnd"/>
      <w:r w:rsidRPr="00E15825">
        <w:rPr>
          <w:sz w:val="28"/>
          <w:szCs w:val="28"/>
          <w:lang w:val="en-US"/>
        </w:rPr>
        <w:t xml:space="preserve"> on the presence of several typical disease features.</w:t>
      </w:r>
      <w:r w:rsidR="00E15825" w:rsidRPr="00E15825">
        <w:rPr>
          <w:sz w:val="28"/>
          <w:szCs w:val="28"/>
          <w:lang w:val="en-US"/>
        </w:rPr>
        <w:t xml:space="preserve"> </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These diagnostic criteria include:</w:t>
      </w:r>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Inflammatory back pain:</w:t>
      </w:r>
      <w:r w:rsidRPr="00E15825">
        <w:rPr>
          <w:rFonts w:ascii="Times New Roman" w:hAnsi="Times New Roman" w:cs="Times New Roman"/>
          <w:sz w:val="28"/>
          <w:szCs w:val="28"/>
          <w:lang w:val="en-US"/>
        </w:rPr>
        <w:br/>
        <w:t>Chronic, inflammatory back pain is defined when at least four out of five of the following parameters are present: (1) Age of onset below 40 years old, (2) insidious onset, (3) improvement with exercise, (4) no improvement with rest, and (5) pain at night (with improvement upon getting up)</w:t>
      </w:r>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Past history of inflammation in the joints, heels, or tendon-bone attachments</w:t>
      </w:r>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rPr>
      </w:pPr>
      <w:proofErr w:type="spellStart"/>
      <w:r w:rsidRPr="00E15825">
        <w:rPr>
          <w:rFonts w:ascii="Times New Roman" w:hAnsi="Times New Roman" w:cs="Times New Roman"/>
          <w:sz w:val="28"/>
          <w:szCs w:val="28"/>
        </w:rPr>
        <w:t>Family</w:t>
      </w:r>
      <w:proofErr w:type="spellEnd"/>
      <w:r w:rsidRPr="00E15825">
        <w:rPr>
          <w:rFonts w:ascii="Times New Roman" w:hAnsi="Times New Roman" w:cs="Times New Roman"/>
          <w:sz w:val="28"/>
          <w:szCs w:val="28"/>
        </w:rPr>
        <w:t xml:space="preserve"> </w:t>
      </w:r>
      <w:proofErr w:type="spellStart"/>
      <w:r w:rsidRPr="00E15825">
        <w:rPr>
          <w:rFonts w:ascii="Times New Roman" w:hAnsi="Times New Roman" w:cs="Times New Roman"/>
          <w:sz w:val="28"/>
          <w:szCs w:val="28"/>
        </w:rPr>
        <w:t>history</w:t>
      </w:r>
      <w:proofErr w:type="spellEnd"/>
      <w:r w:rsidRPr="00E15825">
        <w:rPr>
          <w:rFonts w:ascii="Times New Roman" w:hAnsi="Times New Roman" w:cs="Times New Roman"/>
          <w:sz w:val="28"/>
          <w:szCs w:val="28"/>
        </w:rPr>
        <w:t xml:space="preserve"> </w:t>
      </w:r>
      <w:proofErr w:type="spellStart"/>
      <w:r w:rsidRPr="00E15825">
        <w:rPr>
          <w:rFonts w:ascii="Times New Roman" w:hAnsi="Times New Roman" w:cs="Times New Roman"/>
          <w:sz w:val="28"/>
          <w:szCs w:val="28"/>
        </w:rPr>
        <w:t>for</w:t>
      </w:r>
      <w:proofErr w:type="spellEnd"/>
      <w:r w:rsidRPr="00E15825">
        <w:rPr>
          <w:rFonts w:ascii="Times New Roman" w:hAnsi="Times New Roman" w:cs="Times New Roman"/>
          <w:sz w:val="28"/>
          <w:szCs w:val="28"/>
        </w:rPr>
        <w:t xml:space="preserve"> </w:t>
      </w:r>
      <w:proofErr w:type="spellStart"/>
      <w:r w:rsidRPr="00E15825">
        <w:rPr>
          <w:rFonts w:ascii="Times New Roman" w:hAnsi="Times New Roman" w:cs="Times New Roman"/>
          <w:sz w:val="28"/>
          <w:szCs w:val="28"/>
        </w:rPr>
        <w:t>axial</w:t>
      </w:r>
      <w:proofErr w:type="spellEnd"/>
      <w:r w:rsidRPr="00E15825">
        <w:rPr>
          <w:rFonts w:ascii="Times New Roman" w:hAnsi="Times New Roman" w:cs="Times New Roman"/>
          <w:sz w:val="28"/>
          <w:szCs w:val="28"/>
        </w:rPr>
        <w:t xml:space="preserve"> </w:t>
      </w:r>
      <w:proofErr w:type="spellStart"/>
      <w:r w:rsidRPr="00E15825">
        <w:rPr>
          <w:rFonts w:ascii="Times New Roman" w:hAnsi="Times New Roman" w:cs="Times New Roman"/>
          <w:sz w:val="28"/>
          <w:szCs w:val="28"/>
        </w:rPr>
        <w:t>spondyloarthritis</w:t>
      </w:r>
      <w:proofErr w:type="spellEnd"/>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Positive for the </w:t>
      </w:r>
      <w:hyperlink r:id="rId67" w:tooltip="Biomarker" w:history="1">
        <w:r w:rsidRPr="00E15825">
          <w:rPr>
            <w:rStyle w:val="a6"/>
            <w:rFonts w:ascii="Times New Roman" w:hAnsi="Times New Roman" w:cs="Times New Roman"/>
            <w:color w:val="auto"/>
            <w:sz w:val="28"/>
            <w:szCs w:val="28"/>
            <w:u w:val="none"/>
            <w:lang w:val="en-US"/>
          </w:rPr>
          <w:t>biomarker</w:t>
        </w:r>
      </w:hyperlink>
      <w:r w:rsidRPr="00E15825">
        <w:rPr>
          <w:rFonts w:ascii="Times New Roman" w:hAnsi="Times New Roman" w:cs="Times New Roman"/>
          <w:sz w:val="28"/>
          <w:szCs w:val="28"/>
          <w:lang w:val="en-US"/>
        </w:rPr>
        <w:t> </w:t>
      </w:r>
      <w:hyperlink r:id="rId68" w:tooltip="HLA-B27" w:history="1">
        <w:r w:rsidRPr="00E15825">
          <w:rPr>
            <w:rStyle w:val="a6"/>
            <w:rFonts w:ascii="Times New Roman" w:hAnsi="Times New Roman" w:cs="Times New Roman"/>
            <w:color w:val="auto"/>
            <w:sz w:val="28"/>
            <w:szCs w:val="28"/>
            <w:u w:val="none"/>
            <w:lang w:val="en-US"/>
          </w:rPr>
          <w:t>HLA-B27</w:t>
        </w:r>
      </w:hyperlink>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Good response to treatment with </w:t>
      </w:r>
      <w:hyperlink r:id="rId69" w:tooltip="Nonsteroidal anti-inflammatory drugs" w:history="1">
        <w:r w:rsidRPr="00E15825">
          <w:rPr>
            <w:rStyle w:val="a6"/>
            <w:rFonts w:ascii="Times New Roman" w:hAnsi="Times New Roman" w:cs="Times New Roman"/>
            <w:color w:val="auto"/>
            <w:sz w:val="28"/>
            <w:szCs w:val="28"/>
            <w:u w:val="none"/>
            <w:lang w:val="en-US"/>
          </w:rPr>
          <w:t>nonsteroidal anti-inflammatory drugs</w:t>
        </w:r>
      </w:hyperlink>
      <w:r w:rsidRPr="00E15825">
        <w:rPr>
          <w:rFonts w:ascii="Times New Roman" w:hAnsi="Times New Roman" w:cs="Times New Roman"/>
          <w:sz w:val="28"/>
          <w:szCs w:val="28"/>
          <w:lang w:val="en-US"/>
        </w:rPr>
        <w:t> (NSAIDs)</w:t>
      </w:r>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Signs of elevated inflammation (</w:t>
      </w:r>
      <w:hyperlink r:id="rId70" w:tooltip="C-reactive protein" w:history="1">
        <w:r w:rsidRPr="00E15825">
          <w:rPr>
            <w:rStyle w:val="a6"/>
            <w:rFonts w:ascii="Times New Roman" w:hAnsi="Times New Roman" w:cs="Times New Roman"/>
            <w:color w:val="auto"/>
            <w:sz w:val="28"/>
            <w:szCs w:val="28"/>
            <w:u w:val="none"/>
            <w:lang w:val="en-US"/>
          </w:rPr>
          <w:t>C-reactive protein</w:t>
        </w:r>
      </w:hyperlink>
      <w:r w:rsidRPr="00E15825">
        <w:rPr>
          <w:rFonts w:ascii="Times New Roman" w:hAnsi="Times New Roman" w:cs="Times New Roman"/>
          <w:sz w:val="28"/>
          <w:szCs w:val="28"/>
          <w:lang w:val="en-US"/>
        </w:rPr>
        <w:t> and </w:t>
      </w:r>
      <w:hyperlink r:id="rId71" w:tooltip="Erythrocyte sedimentation rate" w:history="1">
        <w:r w:rsidRPr="00E15825">
          <w:rPr>
            <w:rStyle w:val="a6"/>
            <w:rFonts w:ascii="Times New Roman" w:hAnsi="Times New Roman" w:cs="Times New Roman"/>
            <w:color w:val="auto"/>
            <w:sz w:val="28"/>
            <w:szCs w:val="28"/>
            <w:u w:val="none"/>
            <w:lang w:val="en-US"/>
          </w:rPr>
          <w:t>erythrocyte sedimentation rate</w:t>
        </w:r>
      </w:hyperlink>
      <w:r w:rsidRPr="00E15825">
        <w:rPr>
          <w:rFonts w:ascii="Times New Roman" w:hAnsi="Times New Roman" w:cs="Times New Roman"/>
          <w:sz w:val="28"/>
          <w:szCs w:val="28"/>
          <w:lang w:val="en-US"/>
        </w:rPr>
        <w:t>)</w:t>
      </w:r>
    </w:p>
    <w:p w:rsidR="00E95DFF" w:rsidRPr="00E15825" w:rsidRDefault="00E95DFF" w:rsidP="00E15825">
      <w:pPr>
        <w:numPr>
          <w:ilvl w:val="0"/>
          <w:numId w:val="1"/>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Manifestation of </w:t>
      </w:r>
      <w:hyperlink r:id="rId72" w:tooltip="Psoriasis" w:history="1">
        <w:r w:rsidRPr="00E15825">
          <w:rPr>
            <w:rStyle w:val="a6"/>
            <w:rFonts w:ascii="Times New Roman" w:hAnsi="Times New Roman" w:cs="Times New Roman"/>
            <w:color w:val="auto"/>
            <w:sz w:val="28"/>
            <w:szCs w:val="28"/>
            <w:u w:val="none"/>
            <w:lang w:val="en-US"/>
          </w:rPr>
          <w:t>psoriasis</w:t>
        </w:r>
      </w:hyperlink>
      <w:r w:rsidRPr="00E15825">
        <w:rPr>
          <w:rFonts w:ascii="Times New Roman" w:hAnsi="Times New Roman" w:cs="Times New Roman"/>
          <w:sz w:val="28"/>
          <w:szCs w:val="28"/>
          <w:lang w:val="en-US"/>
        </w:rPr>
        <w:t>, </w:t>
      </w:r>
      <w:hyperlink r:id="rId73" w:tooltip="Inflammatory bowel disease" w:history="1">
        <w:r w:rsidRPr="00E15825">
          <w:rPr>
            <w:rStyle w:val="a6"/>
            <w:rFonts w:ascii="Times New Roman" w:hAnsi="Times New Roman" w:cs="Times New Roman"/>
            <w:color w:val="auto"/>
            <w:sz w:val="28"/>
            <w:szCs w:val="28"/>
            <w:u w:val="none"/>
            <w:lang w:val="en-US"/>
          </w:rPr>
          <w:t>inflammatory bowel disease</w:t>
        </w:r>
      </w:hyperlink>
      <w:r w:rsidRPr="00E15825">
        <w:rPr>
          <w:rFonts w:ascii="Times New Roman" w:hAnsi="Times New Roman" w:cs="Times New Roman"/>
          <w:sz w:val="28"/>
          <w:szCs w:val="28"/>
          <w:lang w:val="en-US"/>
        </w:rPr>
        <w:t>, or inflammation of the eye (</w:t>
      </w:r>
      <w:hyperlink r:id="rId74" w:tooltip="Uveitis" w:history="1">
        <w:r w:rsidRPr="00E15825">
          <w:rPr>
            <w:rStyle w:val="a6"/>
            <w:rFonts w:ascii="Times New Roman" w:hAnsi="Times New Roman" w:cs="Times New Roman"/>
            <w:color w:val="auto"/>
            <w:sz w:val="28"/>
            <w:szCs w:val="28"/>
            <w:u w:val="none"/>
            <w:lang w:val="en-US"/>
          </w:rPr>
          <w:t>uveitis</w:t>
        </w:r>
      </w:hyperlink>
      <w:r w:rsidRPr="00E15825">
        <w:rPr>
          <w:rFonts w:ascii="Times New Roman" w:hAnsi="Times New Roman" w:cs="Times New Roman"/>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If these criteria still do not give a compelling </w:t>
      </w:r>
      <w:proofErr w:type="gramStart"/>
      <w:r w:rsidRPr="00E15825">
        <w:rPr>
          <w:sz w:val="28"/>
          <w:szCs w:val="28"/>
          <w:lang w:val="en-US"/>
        </w:rPr>
        <w:t>diagnosis</w:t>
      </w:r>
      <w:proofErr w:type="gramEnd"/>
      <w:r w:rsidRPr="00E15825">
        <w:rPr>
          <w:sz w:val="28"/>
          <w:szCs w:val="28"/>
          <w:lang w:val="en-US"/>
        </w:rPr>
        <w:t> </w:t>
      </w:r>
      <w:hyperlink r:id="rId75" w:tooltip="Magnetic resonance imaging" w:history="1">
        <w:r w:rsidRPr="00E15825">
          <w:rPr>
            <w:rStyle w:val="a6"/>
            <w:color w:val="auto"/>
            <w:sz w:val="28"/>
            <w:szCs w:val="28"/>
            <w:u w:val="none"/>
            <w:lang w:val="en-US"/>
          </w:rPr>
          <w:t>magnetic resonance imaging</w:t>
        </w:r>
      </w:hyperlink>
      <w:r w:rsidRPr="00E15825">
        <w:rPr>
          <w:sz w:val="28"/>
          <w:szCs w:val="28"/>
          <w:lang w:val="en-US"/>
        </w:rPr>
        <w:t> (MRI) may be useful.</w:t>
      </w:r>
      <w:hyperlink r:id="rId76" w:anchor="cite_note-Classification2009-16" w:history="1">
        <w:r w:rsidRPr="00E15825">
          <w:rPr>
            <w:rStyle w:val="a6"/>
            <w:color w:val="auto"/>
            <w:sz w:val="28"/>
            <w:szCs w:val="28"/>
            <w:u w:val="none"/>
            <w:vertAlign w:val="superscript"/>
            <w:lang w:val="en-US"/>
          </w:rPr>
          <w:t>[16</w:t>
        </w:r>
        <w:proofErr w:type="gramStart"/>
        <w:r w:rsidRPr="00E15825">
          <w:rPr>
            <w:rStyle w:val="a6"/>
            <w:color w:val="auto"/>
            <w:sz w:val="28"/>
            <w:szCs w:val="28"/>
            <w:u w:val="none"/>
            <w:vertAlign w:val="superscript"/>
            <w:lang w:val="en-US"/>
          </w:rPr>
          <w:t>]</w:t>
        </w:r>
        <w:proofErr w:type="gramEnd"/>
      </w:hyperlink>
      <w:hyperlink r:id="rId77" w:anchor="cite_note-Poddubnyyvan_Tubergen2015-17" w:history="1">
        <w:r w:rsidRPr="00E15825">
          <w:rPr>
            <w:rStyle w:val="a6"/>
            <w:color w:val="auto"/>
            <w:sz w:val="28"/>
            <w:szCs w:val="28"/>
            <w:u w:val="none"/>
            <w:vertAlign w:val="superscript"/>
            <w:lang w:val="en-US"/>
          </w:rPr>
          <w:t>[17]</w:t>
        </w:r>
      </w:hyperlink>
      <w:r w:rsidRPr="00E15825">
        <w:rPr>
          <w:sz w:val="28"/>
          <w:szCs w:val="28"/>
          <w:lang w:val="en-US"/>
        </w:rPr>
        <w:t> MRI can show </w:t>
      </w:r>
      <w:hyperlink r:id="rId78" w:tooltip="Sacroiliitis" w:history="1">
        <w:r w:rsidRPr="00E15825">
          <w:rPr>
            <w:rStyle w:val="a6"/>
            <w:color w:val="auto"/>
            <w:sz w:val="28"/>
            <w:szCs w:val="28"/>
            <w:u w:val="none"/>
            <w:lang w:val="en-US"/>
          </w:rPr>
          <w:t>inflammation of the sacroiliac joint</w:t>
        </w:r>
      </w:hyperlink>
      <w:r w:rsidRPr="00E15825">
        <w:rPr>
          <w:sz w:val="28"/>
          <w:szCs w:val="28"/>
          <w:lang w:val="en-US"/>
        </w:rPr>
        <w:t>.</w:t>
      </w:r>
    </w:p>
    <w:p w:rsidR="00E95DFF" w:rsidRPr="00E15825" w:rsidRDefault="00E95DFF" w:rsidP="00E15825">
      <w:pPr>
        <w:pStyle w:val="3"/>
        <w:shd w:val="clear" w:color="auto" w:fill="FFFFFF"/>
        <w:spacing w:before="0" w:line="360" w:lineRule="auto"/>
        <w:ind w:firstLine="709"/>
        <w:rPr>
          <w:rFonts w:ascii="Times New Roman" w:hAnsi="Times New Roman" w:cs="Times New Roman"/>
          <w:b/>
          <w:color w:val="auto"/>
          <w:sz w:val="28"/>
          <w:szCs w:val="28"/>
          <w:lang w:val="en-US"/>
        </w:rPr>
      </w:pPr>
      <w:r w:rsidRPr="00E15825">
        <w:rPr>
          <w:rStyle w:val="mw-headline"/>
          <w:rFonts w:ascii="Times New Roman" w:hAnsi="Times New Roman" w:cs="Times New Roman"/>
          <w:b/>
          <w:color w:val="auto"/>
          <w:sz w:val="28"/>
          <w:szCs w:val="28"/>
          <w:lang w:val="en-US"/>
        </w:rPr>
        <w:t>Radiographic features</w:t>
      </w:r>
    </w:p>
    <w:p w:rsidR="00E95DFF" w:rsidRPr="00E15825" w:rsidRDefault="00E95DFF" w:rsidP="00E15825">
      <w:pPr>
        <w:numPr>
          <w:ilvl w:val="0"/>
          <w:numId w:val="2"/>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 xml:space="preserve">The earliest changes in the sacroiliac joints demonstrable by plain </w:t>
      </w:r>
      <w:proofErr w:type="gramStart"/>
      <w:r w:rsidRPr="00E15825">
        <w:rPr>
          <w:rFonts w:ascii="Times New Roman" w:hAnsi="Times New Roman" w:cs="Times New Roman"/>
          <w:sz w:val="28"/>
          <w:szCs w:val="28"/>
          <w:lang w:val="en-US"/>
        </w:rPr>
        <w:t>x–ray</w:t>
      </w:r>
      <w:proofErr w:type="gramEnd"/>
      <w:r w:rsidRPr="00E15825">
        <w:rPr>
          <w:rFonts w:ascii="Times New Roman" w:hAnsi="Times New Roman" w:cs="Times New Roman"/>
          <w:sz w:val="28"/>
          <w:szCs w:val="28"/>
          <w:lang w:val="en-US"/>
        </w:rPr>
        <w:t xml:space="preserve"> shows erosions and sclerosis.</w:t>
      </w:r>
    </w:p>
    <w:p w:rsidR="00E95DFF" w:rsidRPr="00E15825" w:rsidRDefault="00E95DFF" w:rsidP="00E15825">
      <w:pPr>
        <w:numPr>
          <w:ilvl w:val="0"/>
          <w:numId w:val="2"/>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Progression of the erosions leads to </w:t>
      </w:r>
      <w:r w:rsidRPr="00E15825">
        <w:rPr>
          <w:rFonts w:ascii="Times New Roman" w:hAnsi="Times New Roman" w:cs="Times New Roman"/>
          <w:i/>
          <w:iCs/>
          <w:sz w:val="28"/>
          <w:szCs w:val="28"/>
          <w:lang w:val="en-US"/>
        </w:rPr>
        <w:t>pseudo-widening</w:t>
      </w:r>
      <w:r w:rsidRPr="00E15825">
        <w:rPr>
          <w:rFonts w:ascii="Times New Roman" w:hAnsi="Times New Roman" w:cs="Times New Roman"/>
          <w:sz w:val="28"/>
          <w:szCs w:val="28"/>
          <w:lang w:val="en-US"/>
        </w:rPr>
        <w:t xml:space="preserve"> of the joint space and bony </w:t>
      </w:r>
      <w:proofErr w:type="spellStart"/>
      <w:r w:rsidRPr="00E15825">
        <w:rPr>
          <w:rFonts w:ascii="Times New Roman" w:hAnsi="Times New Roman" w:cs="Times New Roman"/>
          <w:sz w:val="28"/>
          <w:szCs w:val="28"/>
          <w:lang w:val="en-US"/>
        </w:rPr>
        <w:t>ankylosis</w:t>
      </w:r>
      <w:proofErr w:type="spellEnd"/>
      <w:r w:rsidRPr="00E15825">
        <w:rPr>
          <w:rFonts w:ascii="Times New Roman" w:hAnsi="Times New Roman" w:cs="Times New Roman"/>
          <w:sz w:val="28"/>
          <w:szCs w:val="28"/>
          <w:lang w:val="en-US"/>
        </w:rPr>
        <w:t>.</w:t>
      </w:r>
    </w:p>
    <w:p w:rsidR="00E95DFF" w:rsidRPr="00E15825" w:rsidRDefault="00E95DFF" w:rsidP="00E15825">
      <w:pPr>
        <w:numPr>
          <w:ilvl w:val="0"/>
          <w:numId w:val="2"/>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t>X-ray spine can reveal squaring of vertebrae with spine ossification with fibrous band run longitudinally called </w:t>
      </w:r>
      <w:proofErr w:type="spellStart"/>
      <w:r w:rsidRPr="00E15825">
        <w:rPr>
          <w:rFonts w:ascii="Times New Roman" w:hAnsi="Times New Roman" w:cs="Times New Roman"/>
          <w:sz w:val="28"/>
          <w:szCs w:val="28"/>
        </w:rPr>
        <w:fldChar w:fldCharType="begin"/>
      </w:r>
      <w:r w:rsidRPr="00E15825">
        <w:rPr>
          <w:rFonts w:ascii="Times New Roman" w:hAnsi="Times New Roman" w:cs="Times New Roman"/>
          <w:sz w:val="28"/>
          <w:szCs w:val="28"/>
          <w:lang w:val="en-US"/>
        </w:rPr>
        <w:instrText xml:space="preserve"> HYPERLINK "https://en.wikipedia.org/wiki/Syndesmophyte" \o "Syndesmophyte" </w:instrText>
      </w:r>
      <w:r w:rsidRPr="00E15825">
        <w:rPr>
          <w:rFonts w:ascii="Times New Roman" w:hAnsi="Times New Roman" w:cs="Times New Roman"/>
          <w:sz w:val="28"/>
          <w:szCs w:val="28"/>
        </w:rPr>
        <w:fldChar w:fldCharType="separate"/>
      </w:r>
      <w:r w:rsidRPr="00E15825">
        <w:rPr>
          <w:rStyle w:val="a6"/>
          <w:rFonts w:ascii="Times New Roman" w:hAnsi="Times New Roman" w:cs="Times New Roman"/>
          <w:color w:val="auto"/>
          <w:sz w:val="28"/>
          <w:szCs w:val="28"/>
          <w:u w:val="none"/>
          <w:lang w:val="en-US"/>
        </w:rPr>
        <w:t>syndesmophyte</w:t>
      </w:r>
      <w:proofErr w:type="spellEnd"/>
      <w:r w:rsidRPr="00E15825">
        <w:rPr>
          <w:rFonts w:ascii="Times New Roman" w:hAnsi="Times New Roman" w:cs="Times New Roman"/>
          <w:sz w:val="28"/>
          <w:szCs w:val="28"/>
        </w:rPr>
        <w:fldChar w:fldCharType="end"/>
      </w:r>
      <w:r w:rsidRPr="00E15825">
        <w:rPr>
          <w:rFonts w:ascii="Times New Roman" w:hAnsi="Times New Roman" w:cs="Times New Roman"/>
          <w:sz w:val="28"/>
          <w:szCs w:val="28"/>
          <w:lang w:val="en-US"/>
        </w:rPr>
        <w:t> while producing bamboo spine appearance.</w:t>
      </w:r>
    </w:p>
    <w:p w:rsidR="00E95DFF" w:rsidRPr="00E15825" w:rsidRDefault="00E95DFF" w:rsidP="00E15825">
      <w:pPr>
        <w:numPr>
          <w:ilvl w:val="0"/>
          <w:numId w:val="2"/>
        </w:numPr>
        <w:shd w:val="clear" w:color="auto" w:fill="FFFFFF"/>
        <w:spacing w:after="0" w:line="360" w:lineRule="auto"/>
        <w:ind w:left="0" w:firstLine="709"/>
        <w:rPr>
          <w:rFonts w:ascii="Times New Roman" w:hAnsi="Times New Roman" w:cs="Times New Roman"/>
          <w:sz w:val="28"/>
          <w:szCs w:val="28"/>
          <w:lang w:val="en-US"/>
        </w:rPr>
      </w:pPr>
      <w:r w:rsidRPr="00E15825">
        <w:rPr>
          <w:rFonts w:ascii="Times New Roman" w:hAnsi="Times New Roman" w:cs="Times New Roman"/>
          <w:sz w:val="28"/>
          <w:szCs w:val="28"/>
          <w:lang w:val="en-US"/>
        </w:rPr>
        <w:lastRenderedPageBreak/>
        <w:t>A drawback of X-ray diagnosis is the signs and symptoms of AS have usually been established as long as 8–10 years prior to X-ray-evident changes occurring on a plain film X-ray, which means a delay of as long as 10 years before adequate therapies can be introduced. Options for earlier diagnosis are </w:t>
      </w:r>
      <w:hyperlink r:id="rId79" w:tooltip="Computed tomography" w:history="1">
        <w:r w:rsidRPr="00E15825">
          <w:rPr>
            <w:rStyle w:val="a6"/>
            <w:rFonts w:ascii="Times New Roman" w:hAnsi="Times New Roman" w:cs="Times New Roman"/>
            <w:color w:val="auto"/>
            <w:sz w:val="28"/>
            <w:szCs w:val="28"/>
            <w:u w:val="none"/>
            <w:lang w:val="en-US"/>
          </w:rPr>
          <w:t>tomography</w:t>
        </w:r>
      </w:hyperlink>
      <w:r w:rsidRPr="00E15825">
        <w:rPr>
          <w:rFonts w:ascii="Times New Roman" w:hAnsi="Times New Roman" w:cs="Times New Roman"/>
          <w:sz w:val="28"/>
          <w:szCs w:val="28"/>
          <w:lang w:val="en-US"/>
        </w:rPr>
        <w:t> and MRI of the sacroiliac joints, but the reliability of these tests is still unclear.</w:t>
      </w:r>
    </w:p>
    <w:p w:rsidR="00E95DFF" w:rsidRPr="00E15825" w:rsidRDefault="00E95DFF" w:rsidP="00E15825">
      <w:pPr>
        <w:pStyle w:val="3"/>
        <w:shd w:val="clear" w:color="auto" w:fill="FFFFFF"/>
        <w:spacing w:before="0" w:line="360" w:lineRule="auto"/>
        <w:ind w:firstLine="709"/>
        <w:rPr>
          <w:rFonts w:ascii="Times New Roman" w:hAnsi="Times New Roman" w:cs="Times New Roman"/>
          <w:b/>
          <w:color w:val="auto"/>
          <w:sz w:val="28"/>
          <w:szCs w:val="28"/>
          <w:lang w:val="en-US"/>
        </w:rPr>
      </w:pPr>
      <w:r w:rsidRPr="00E15825">
        <w:rPr>
          <w:rStyle w:val="mw-headline"/>
          <w:rFonts w:ascii="Times New Roman" w:hAnsi="Times New Roman" w:cs="Times New Roman"/>
          <w:b/>
          <w:color w:val="auto"/>
          <w:sz w:val="28"/>
          <w:szCs w:val="28"/>
          <w:lang w:val="en-US"/>
        </w:rPr>
        <w:t>Blood parameters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During acute inflammatory periods, people with AS may show an increase in the blood concentration of CRP and an increase in the ESR, but there are many with AS whose CRP and ESR rates do not increase, so normal CRP and ESR results do not always correspond with the amount of inflammation that is actually present. In other words, some people with AS have normal levels of CRP and ESR, despite experiencing a significant amount of inflammation in their bodies</w:t>
      </w:r>
      <w:proofErr w:type="gramStart"/>
      <w:r w:rsidRPr="00E15825">
        <w:rPr>
          <w:sz w:val="28"/>
          <w:szCs w:val="28"/>
          <w:lang w:val="en-US"/>
        </w:rPr>
        <w:t>.</w:t>
      </w:r>
      <w:r w:rsidRPr="00E15825">
        <w:rPr>
          <w:sz w:val="28"/>
          <w:szCs w:val="28"/>
          <w:vertAlign w:val="superscript"/>
          <w:lang w:val="en-US"/>
        </w:rPr>
        <w:t>[</w:t>
      </w:r>
      <w:proofErr w:type="gramEnd"/>
      <w:r w:rsidRPr="00E15825">
        <w:rPr>
          <w:i/>
          <w:iCs/>
          <w:sz w:val="28"/>
          <w:szCs w:val="28"/>
          <w:vertAlign w:val="superscript"/>
        </w:rPr>
        <w:fldChar w:fldCharType="begin"/>
      </w:r>
      <w:r w:rsidRPr="00E15825">
        <w:rPr>
          <w:i/>
          <w:iCs/>
          <w:sz w:val="28"/>
          <w:szCs w:val="28"/>
          <w:vertAlign w:val="superscript"/>
          <w:lang w:val="en-US"/>
        </w:rPr>
        <w:instrText xml:space="preserve"> HYPERLINK "https://en.wikipedia.org/wiki/Wikipedia:Citation_needed" \o "Wikipedia:Citation needed" </w:instrText>
      </w:r>
      <w:r w:rsidRPr="00E15825">
        <w:rPr>
          <w:i/>
          <w:iCs/>
          <w:sz w:val="28"/>
          <w:szCs w:val="28"/>
          <w:vertAlign w:val="superscript"/>
        </w:rPr>
        <w:fldChar w:fldCharType="separate"/>
      </w:r>
      <w:r w:rsidRPr="00E15825">
        <w:rPr>
          <w:rStyle w:val="a6"/>
          <w:i/>
          <w:iCs/>
          <w:color w:val="auto"/>
          <w:sz w:val="28"/>
          <w:szCs w:val="28"/>
          <w:u w:val="none"/>
          <w:vertAlign w:val="superscript"/>
          <w:lang w:val="en-US"/>
        </w:rPr>
        <w:t>citation needed</w:t>
      </w:r>
      <w:r w:rsidRPr="00E15825">
        <w:rPr>
          <w:i/>
          <w:iCs/>
          <w:sz w:val="28"/>
          <w:szCs w:val="28"/>
          <w:vertAlign w:val="superscript"/>
        </w:rPr>
        <w:fldChar w:fldCharType="end"/>
      </w:r>
      <w:r w:rsidRPr="00E15825">
        <w:rPr>
          <w:sz w:val="28"/>
          <w:szCs w:val="28"/>
          <w:vertAlign w:val="superscript"/>
          <w:lang w:val="en-US"/>
        </w:rPr>
        <w:t>]</w:t>
      </w:r>
    </w:p>
    <w:p w:rsidR="00E95DFF" w:rsidRPr="00E15825" w:rsidRDefault="00E95DFF" w:rsidP="00E15825">
      <w:pPr>
        <w:pStyle w:val="3"/>
        <w:shd w:val="clear" w:color="auto" w:fill="FFFFFF"/>
        <w:spacing w:before="0" w:line="360" w:lineRule="auto"/>
        <w:ind w:firstLine="709"/>
        <w:rPr>
          <w:rFonts w:ascii="Times New Roman" w:hAnsi="Times New Roman" w:cs="Times New Roman"/>
          <w:b/>
          <w:color w:val="auto"/>
          <w:sz w:val="28"/>
          <w:szCs w:val="28"/>
          <w:lang w:val="en-US"/>
        </w:rPr>
      </w:pPr>
      <w:r w:rsidRPr="00E15825">
        <w:rPr>
          <w:rStyle w:val="mw-headline"/>
          <w:rFonts w:ascii="Times New Roman" w:hAnsi="Times New Roman" w:cs="Times New Roman"/>
          <w:b/>
          <w:color w:val="auto"/>
          <w:sz w:val="28"/>
          <w:szCs w:val="28"/>
          <w:lang w:val="en-US"/>
        </w:rPr>
        <w:t>Genetic testing</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Variations of the HLA-B gene increase the risk of developing ankylosing spondylitis, although it is not a diagnostic test. Those with the HLA-B27 variant are at a higher risk than the general population of developing the disorder. HLA-B27, demonstrated in a </w:t>
      </w:r>
      <w:hyperlink r:id="rId80" w:tooltip="Blood test" w:history="1">
        <w:r w:rsidRPr="00E15825">
          <w:rPr>
            <w:rStyle w:val="a6"/>
            <w:color w:val="auto"/>
            <w:sz w:val="28"/>
            <w:szCs w:val="28"/>
            <w:u w:val="none"/>
            <w:lang w:val="en-US"/>
          </w:rPr>
          <w:t>blood test</w:t>
        </w:r>
      </w:hyperlink>
      <w:r w:rsidRPr="00E15825">
        <w:rPr>
          <w:sz w:val="28"/>
          <w:szCs w:val="28"/>
          <w:lang w:val="en-US"/>
        </w:rPr>
        <w:t>, can occasionally help with diagnosis, but in itself is not diagnostic of AS in a person with back pain. Over 90% of people that have been diagnosed with AS are HLA-B27 positive, although this ratio varies from population to population (about 50% of African Americans with AS possess HLA-B27 in contrast to the figure of 80% among those with AS who are of Mediterranean descent)</w:t>
      </w:r>
      <w:proofErr w:type="gramStart"/>
      <w:r w:rsidRPr="00E15825">
        <w:rPr>
          <w:sz w:val="28"/>
          <w:szCs w:val="28"/>
          <w:lang w:val="en-US"/>
        </w:rPr>
        <w:t>.</w:t>
      </w:r>
      <w:r w:rsidRPr="00E15825">
        <w:rPr>
          <w:sz w:val="28"/>
          <w:szCs w:val="28"/>
          <w:vertAlign w:val="superscript"/>
          <w:lang w:val="en-US"/>
        </w:rPr>
        <w:t>[</w:t>
      </w:r>
      <w:proofErr w:type="gramEnd"/>
      <w:r w:rsidRPr="00E15825">
        <w:rPr>
          <w:i/>
          <w:iCs/>
          <w:sz w:val="28"/>
          <w:szCs w:val="28"/>
          <w:vertAlign w:val="superscript"/>
        </w:rPr>
        <w:fldChar w:fldCharType="begin"/>
      </w:r>
      <w:r w:rsidRPr="00E15825">
        <w:rPr>
          <w:i/>
          <w:iCs/>
          <w:sz w:val="28"/>
          <w:szCs w:val="28"/>
          <w:vertAlign w:val="superscript"/>
          <w:lang w:val="en-US"/>
        </w:rPr>
        <w:instrText xml:space="preserve"> HYPERLINK "https://en.wikipedia.org/wiki/Wikipedia:Citation_needed" \o "Wikipedia:Citation needed" </w:instrText>
      </w:r>
      <w:r w:rsidRPr="00E15825">
        <w:rPr>
          <w:i/>
          <w:iCs/>
          <w:sz w:val="28"/>
          <w:szCs w:val="28"/>
          <w:vertAlign w:val="superscript"/>
        </w:rPr>
        <w:fldChar w:fldCharType="separate"/>
      </w:r>
      <w:r w:rsidRPr="00E15825">
        <w:rPr>
          <w:rStyle w:val="a6"/>
          <w:i/>
          <w:iCs/>
          <w:color w:val="auto"/>
          <w:sz w:val="28"/>
          <w:szCs w:val="28"/>
          <w:u w:val="none"/>
          <w:vertAlign w:val="superscript"/>
          <w:lang w:val="en-US"/>
        </w:rPr>
        <w:t>citation needed</w:t>
      </w:r>
      <w:r w:rsidRPr="00E15825">
        <w:rPr>
          <w:i/>
          <w:iCs/>
          <w:sz w:val="28"/>
          <w:szCs w:val="28"/>
          <w:vertAlign w:val="superscript"/>
        </w:rPr>
        <w:fldChar w:fldCharType="end"/>
      </w:r>
      <w:r w:rsidRPr="00E15825">
        <w:rPr>
          <w:sz w:val="28"/>
          <w:szCs w:val="28"/>
          <w:vertAlign w:val="superscript"/>
          <w:lang w:val="en-US"/>
        </w:rPr>
        <w:t>]</w:t>
      </w:r>
    </w:p>
    <w:p w:rsidR="00E95DFF" w:rsidRPr="00E15825" w:rsidRDefault="00E95DFF" w:rsidP="00E15825">
      <w:pPr>
        <w:pStyle w:val="3"/>
        <w:shd w:val="clear" w:color="auto" w:fill="FFFFFF"/>
        <w:spacing w:before="0" w:line="360" w:lineRule="auto"/>
        <w:ind w:firstLine="709"/>
        <w:rPr>
          <w:rFonts w:ascii="Times New Roman" w:hAnsi="Times New Roman" w:cs="Times New Roman"/>
          <w:b/>
          <w:color w:val="auto"/>
          <w:sz w:val="28"/>
          <w:szCs w:val="28"/>
          <w:lang w:val="en-US"/>
        </w:rPr>
      </w:pPr>
      <w:r w:rsidRPr="00E15825">
        <w:rPr>
          <w:rStyle w:val="mw-headline"/>
          <w:rFonts w:ascii="Times New Roman" w:hAnsi="Times New Roman" w:cs="Times New Roman"/>
          <w:b/>
          <w:color w:val="auto"/>
          <w:sz w:val="28"/>
          <w:szCs w:val="28"/>
          <w:lang w:val="en-US"/>
        </w:rPr>
        <w:t>BASDAI</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The Bath Ankylosing Spondylitis Disease Activity Index (</w:t>
      </w:r>
      <w:hyperlink r:id="rId81" w:tooltip="BASDAI" w:history="1">
        <w:r w:rsidRPr="00E15825">
          <w:rPr>
            <w:rStyle w:val="a6"/>
            <w:color w:val="auto"/>
            <w:sz w:val="28"/>
            <w:szCs w:val="28"/>
            <w:u w:val="none"/>
            <w:lang w:val="en-US"/>
          </w:rPr>
          <w:t>BASDAI</w:t>
        </w:r>
      </w:hyperlink>
      <w:r w:rsidRPr="00E15825">
        <w:rPr>
          <w:sz w:val="28"/>
          <w:szCs w:val="28"/>
          <w:lang w:val="en-US"/>
        </w:rPr>
        <w:t>), developed in </w:t>
      </w:r>
      <w:hyperlink r:id="rId82" w:tooltip="Bath, Somerset" w:history="1">
        <w:r w:rsidRPr="00E15825">
          <w:rPr>
            <w:rStyle w:val="a6"/>
            <w:color w:val="auto"/>
            <w:sz w:val="28"/>
            <w:szCs w:val="28"/>
            <w:u w:val="none"/>
            <w:lang w:val="en-US"/>
          </w:rPr>
          <w:t>Bath</w:t>
        </w:r>
      </w:hyperlink>
      <w:r w:rsidRPr="00E15825">
        <w:rPr>
          <w:sz w:val="28"/>
          <w:szCs w:val="28"/>
          <w:lang w:val="en-US"/>
        </w:rPr>
        <w:t> (UK), is an index designed to detect the inflammatory burden of active disease. The BASDAI can help to establish a diagnosis of AS in the presence of other factors such as HLA-B27 positivity, persistent buttock pain which resolves with exercise, and X-ray or MRI-evident involvement of the sacroiliac joints.</w:t>
      </w:r>
      <w:hyperlink r:id="rId83" w:anchor="cite_note-18" w:history="1">
        <w:r w:rsidRPr="00E15825">
          <w:rPr>
            <w:rStyle w:val="a6"/>
            <w:color w:val="auto"/>
            <w:sz w:val="28"/>
            <w:szCs w:val="28"/>
            <w:u w:val="none"/>
            <w:vertAlign w:val="superscript"/>
            <w:lang w:val="en-US"/>
          </w:rPr>
          <w:t>[18]</w:t>
        </w:r>
      </w:hyperlink>
      <w:r w:rsidRPr="00E15825">
        <w:rPr>
          <w:sz w:val="28"/>
          <w:szCs w:val="28"/>
          <w:lang w:val="en-US"/>
        </w:rPr>
        <w:t xml:space="preserve"> It </w:t>
      </w:r>
      <w:proofErr w:type="gramStart"/>
      <w:r w:rsidRPr="00E15825">
        <w:rPr>
          <w:sz w:val="28"/>
          <w:szCs w:val="28"/>
          <w:lang w:val="en-US"/>
        </w:rPr>
        <w:t>can be easily calculated</w:t>
      </w:r>
      <w:proofErr w:type="gramEnd"/>
      <w:r w:rsidRPr="00E15825">
        <w:rPr>
          <w:sz w:val="28"/>
          <w:szCs w:val="28"/>
          <w:lang w:val="en-US"/>
        </w:rPr>
        <w:t xml:space="preserve"> and accurately assesses the need for additional therapy; a person with AS </w:t>
      </w:r>
      <w:r w:rsidRPr="00E15825">
        <w:rPr>
          <w:sz w:val="28"/>
          <w:szCs w:val="28"/>
          <w:lang w:val="en-US"/>
        </w:rPr>
        <w:lastRenderedPageBreak/>
        <w:t>with a score of four out of a possible 10 points while on adequate NSAID therapy is usually considered a good candidate for biologic therapy.</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The Bath Ankylosing Spondylitis Functional Index (BASFI) is a functional </w:t>
      </w:r>
      <w:proofErr w:type="gramStart"/>
      <w:r w:rsidRPr="00E15825">
        <w:rPr>
          <w:sz w:val="28"/>
          <w:szCs w:val="28"/>
          <w:lang w:val="en-US"/>
        </w:rPr>
        <w:t>index which</w:t>
      </w:r>
      <w:proofErr w:type="gramEnd"/>
      <w:r w:rsidRPr="00E15825">
        <w:rPr>
          <w:sz w:val="28"/>
          <w:szCs w:val="28"/>
          <w:lang w:val="en-US"/>
        </w:rPr>
        <w:t xml:space="preserve"> can accurately assess functional impairment due to the disease, as well as improvements following therapy.</w:t>
      </w:r>
      <w:hyperlink r:id="rId84" w:anchor="cite_note-19" w:history="1">
        <w:r w:rsidRPr="00E15825">
          <w:rPr>
            <w:rStyle w:val="a6"/>
            <w:color w:val="auto"/>
            <w:sz w:val="28"/>
            <w:szCs w:val="28"/>
            <w:u w:val="none"/>
            <w:vertAlign w:val="superscript"/>
            <w:lang w:val="en-US"/>
          </w:rPr>
          <w:t>[19]</w:t>
        </w:r>
      </w:hyperlink>
      <w:r w:rsidRPr="00E15825">
        <w:rPr>
          <w:sz w:val="28"/>
          <w:szCs w:val="28"/>
          <w:lang w:val="en-US"/>
        </w:rPr>
        <w:t xml:space="preserve"> The BASFI </w:t>
      </w:r>
      <w:proofErr w:type="gramStart"/>
      <w:r w:rsidRPr="00E15825">
        <w:rPr>
          <w:sz w:val="28"/>
          <w:szCs w:val="28"/>
          <w:lang w:val="en-US"/>
        </w:rPr>
        <w:t>is not usually used</w:t>
      </w:r>
      <w:proofErr w:type="gramEnd"/>
      <w:r w:rsidRPr="00E15825">
        <w:rPr>
          <w:sz w:val="28"/>
          <w:szCs w:val="28"/>
          <w:lang w:val="en-US"/>
        </w:rPr>
        <w:t xml:space="preserve"> as a diagnostic tool, but rather as a tool to establish a current baseline and subsequent response to therapy.</w:t>
      </w:r>
    </w:p>
    <w:p w:rsidR="00E15825" w:rsidRPr="00E15825" w:rsidRDefault="00E15825" w:rsidP="00E15825">
      <w:pPr>
        <w:shd w:val="clear" w:color="auto" w:fill="FFFFFF"/>
        <w:spacing w:after="0" w:line="360" w:lineRule="auto"/>
        <w:ind w:firstLine="709"/>
        <w:rPr>
          <w:rFonts w:ascii="Times New Roman" w:eastAsia="Times New Roman" w:hAnsi="Times New Roman" w:cs="Times New Roman"/>
          <w:sz w:val="28"/>
          <w:szCs w:val="28"/>
          <w:lang w:val="en-US" w:eastAsia="ru-RU"/>
        </w:rPr>
      </w:pPr>
      <w:hyperlink r:id="rId85" w:history="1">
        <w:r w:rsidRPr="00E15825">
          <w:rPr>
            <w:rFonts w:ascii="Times New Roman" w:eastAsia="Times New Roman" w:hAnsi="Times New Roman" w:cs="Times New Roman"/>
            <w:b/>
            <w:bCs/>
            <w:sz w:val="28"/>
            <w:szCs w:val="28"/>
            <w:lang w:val="en-US" w:eastAsia="ru-RU"/>
          </w:rPr>
          <w:t>Physical Exam </w:t>
        </w:r>
      </w:hyperlink>
      <w:r w:rsidRPr="00E15825">
        <w:rPr>
          <w:rFonts w:ascii="Times New Roman" w:eastAsia="Times New Roman" w:hAnsi="Times New Roman" w:cs="Times New Roman"/>
          <w:sz w:val="28"/>
          <w:szCs w:val="28"/>
          <w:lang w:val="en-US" w:eastAsia="ru-RU"/>
        </w:rPr>
        <w:br/>
        <w:t>A physical examination for ankylosing spondylitis often includes the following:</w:t>
      </w:r>
    </w:p>
    <w:p w:rsidR="00E15825" w:rsidRPr="00E15825" w:rsidRDefault="00E15825" w:rsidP="00E15825">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val="en-US" w:eastAsia="ru-RU"/>
        </w:rPr>
      </w:pPr>
      <w:proofErr w:type="spellStart"/>
      <w:r w:rsidRPr="00E15825">
        <w:rPr>
          <w:rFonts w:ascii="Times New Roman" w:eastAsia="Times New Roman" w:hAnsi="Times New Roman" w:cs="Times New Roman"/>
          <w:b/>
          <w:bCs/>
          <w:sz w:val="28"/>
          <w:szCs w:val="28"/>
          <w:lang w:val="en-US" w:eastAsia="ru-RU"/>
        </w:rPr>
        <w:t>Schober</w:t>
      </w:r>
      <w:proofErr w:type="spellEnd"/>
      <w:r w:rsidRPr="00E15825">
        <w:rPr>
          <w:rFonts w:ascii="Times New Roman" w:eastAsia="Times New Roman" w:hAnsi="Times New Roman" w:cs="Times New Roman"/>
          <w:b/>
          <w:bCs/>
          <w:sz w:val="28"/>
          <w:szCs w:val="28"/>
          <w:lang w:val="en-US" w:eastAsia="ru-RU"/>
        </w:rPr>
        <w:t xml:space="preserve"> Test:</w:t>
      </w:r>
      <w:r w:rsidRPr="00E15825">
        <w:rPr>
          <w:rFonts w:ascii="Times New Roman" w:eastAsia="Times New Roman" w:hAnsi="Times New Roman" w:cs="Times New Roman"/>
          <w:sz w:val="28"/>
          <w:szCs w:val="28"/>
          <w:lang w:val="en-US" w:eastAsia="ru-RU"/>
        </w:rPr>
        <w:t xml:space="preserve"> Limited motion in the lumbar spine is symptomatic of AS. The </w:t>
      </w:r>
      <w:proofErr w:type="spellStart"/>
      <w:r w:rsidRPr="00E15825">
        <w:rPr>
          <w:rFonts w:ascii="Times New Roman" w:eastAsia="Times New Roman" w:hAnsi="Times New Roman" w:cs="Times New Roman"/>
          <w:sz w:val="28"/>
          <w:szCs w:val="28"/>
          <w:lang w:val="en-US" w:eastAsia="ru-RU"/>
        </w:rPr>
        <w:t>Schober</w:t>
      </w:r>
      <w:proofErr w:type="spellEnd"/>
      <w:r w:rsidRPr="00E15825">
        <w:rPr>
          <w:rFonts w:ascii="Times New Roman" w:eastAsia="Times New Roman" w:hAnsi="Times New Roman" w:cs="Times New Roman"/>
          <w:sz w:val="28"/>
          <w:szCs w:val="28"/>
          <w:lang w:val="en-US" w:eastAsia="ru-RU"/>
        </w:rPr>
        <w:t xml:space="preserve"> test measures the degree of lumbar forward flexion as the patient bends over as though touching their toes. Progressive loss of spinal motion </w:t>
      </w:r>
      <w:proofErr w:type="gramStart"/>
      <w:r w:rsidRPr="00E15825">
        <w:rPr>
          <w:rFonts w:ascii="Times New Roman" w:eastAsia="Times New Roman" w:hAnsi="Times New Roman" w:cs="Times New Roman"/>
          <w:sz w:val="28"/>
          <w:szCs w:val="28"/>
          <w:lang w:val="en-US" w:eastAsia="ru-RU"/>
        </w:rPr>
        <w:t>is correlated</w:t>
      </w:r>
      <w:proofErr w:type="gramEnd"/>
      <w:r w:rsidRPr="00E15825">
        <w:rPr>
          <w:rFonts w:ascii="Times New Roman" w:eastAsia="Times New Roman" w:hAnsi="Times New Roman" w:cs="Times New Roman"/>
          <w:sz w:val="28"/>
          <w:szCs w:val="28"/>
          <w:lang w:val="en-US" w:eastAsia="ru-RU"/>
        </w:rPr>
        <w:t xml:space="preserve"> with x-ray findings.</w:t>
      </w:r>
    </w:p>
    <w:p w:rsidR="00E15825" w:rsidRPr="00E15825" w:rsidRDefault="00E15825" w:rsidP="00E15825">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val="en-US" w:eastAsia="ru-RU"/>
        </w:rPr>
      </w:pPr>
      <w:proofErr w:type="spellStart"/>
      <w:r w:rsidRPr="00E15825">
        <w:rPr>
          <w:rFonts w:ascii="Times New Roman" w:eastAsia="Times New Roman" w:hAnsi="Times New Roman" w:cs="Times New Roman"/>
          <w:b/>
          <w:bCs/>
          <w:sz w:val="28"/>
          <w:szCs w:val="28"/>
          <w:lang w:val="en-US" w:eastAsia="ru-RU"/>
        </w:rPr>
        <w:t>Gaenslen</w:t>
      </w:r>
      <w:proofErr w:type="spellEnd"/>
      <w:r w:rsidRPr="00E15825">
        <w:rPr>
          <w:rFonts w:ascii="Times New Roman" w:eastAsia="Times New Roman" w:hAnsi="Times New Roman" w:cs="Times New Roman"/>
          <w:b/>
          <w:bCs/>
          <w:sz w:val="28"/>
          <w:szCs w:val="28"/>
          <w:lang w:val="en-US" w:eastAsia="ru-RU"/>
        </w:rPr>
        <w:t xml:space="preserve"> Test:</w:t>
      </w:r>
      <w:r w:rsidRPr="00E15825">
        <w:rPr>
          <w:rFonts w:ascii="Times New Roman" w:eastAsia="Times New Roman" w:hAnsi="Times New Roman" w:cs="Times New Roman"/>
          <w:sz w:val="28"/>
          <w:szCs w:val="28"/>
          <w:lang w:val="en-US" w:eastAsia="ru-RU"/>
        </w:rPr>
        <w:t xml:space="preserve"> Sacroiliac pain is often found in the early stage of AS. </w:t>
      </w:r>
      <w:proofErr w:type="spellStart"/>
      <w:r w:rsidRPr="00E15825">
        <w:rPr>
          <w:rFonts w:ascii="Times New Roman" w:eastAsia="Times New Roman" w:hAnsi="Times New Roman" w:cs="Times New Roman"/>
          <w:sz w:val="28"/>
          <w:szCs w:val="28"/>
          <w:lang w:val="en-US" w:eastAsia="ru-RU"/>
        </w:rPr>
        <w:t>Gaenslen's</w:t>
      </w:r>
      <w:proofErr w:type="spellEnd"/>
      <w:r w:rsidRPr="00E15825">
        <w:rPr>
          <w:rFonts w:ascii="Times New Roman" w:eastAsia="Times New Roman" w:hAnsi="Times New Roman" w:cs="Times New Roman"/>
          <w:sz w:val="28"/>
          <w:szCs w:val="28"/>
          <w:lang w:val="en-US" w:eastAsia="ru-RU"/>
        </w:rPr>
        <w:t xml:space="preserve"> maneuver, another name for the </w:t>
      </w:r>
      <w:proofErr w:type="spellStart"/>
      <w:r w:rsidRPr="00E15825">
        <w:rPr>
          <w:rFonts w:ascii="Times New Roman" w:eastAsia="Times New Roman" w:hAnsi="Times New Roman" w:cs="Times New Roman"/>
          <w:sz w:val="28"/>
          <w:szCs w:val="28"/>
          <w:lang w:val="en-US" w:eastAsia="ru-RU"/>
        </w:rPr>
        <w:t>Gaenslen</w:t>
      </w:r>
      <w:proofErr w:type="spellEnd"/>
      <w:r w:rsidRPr="00E15825">
        <w:rPr>
          <w:rFonts w:ascii="Times New Roman" w:eastAsia="Times New Roman" w:hAnsi="Times New Roman" w:cs="Times New Roman"/>
          <w:sz w:val="28"/>
          <w:szCs w:val="28"/>
          <w:lang w:val="en-US" w:eastAsia="ru-RU"/>
        </w:rPr>
        <w:t xml:space="preserve"> test, stresses the sacroiliac joints. Increased pain during this maneuver could be indicative of joint disease.</w:t>
      </w:r>
    </w:p>
    <w:p w:rsidR="00E15825" w:rsidRPr="00E15825" w:rsidRDefault="00E15825" w:rsidP="00E15825">
      <w:pPr>
        <w:numPr>
          <w:ilvl w:val="0"/>
          <w:numId w:val="5"/>
        </w:numPr>
        <w:shd w:val="clear" w:color="auto" w:fill="FFFFFF"/>
        <w:spacing w:after="0" w:line="360" w:lineRule="auto"/>
        <w:ind w:left="0" w:firstLine="709"/>
        <w:rPr>
          <w:rFonts w:ascii="Times New Roman" w:eastAsia="Times New Roman" w:hAnsi="Times New Roman" w:cs="Times New Roman"/>
          <w:sz w:val="28"/>
          <w:szCs w:val="28"/>
          <w:lang w:val="en-US" w:eastAsia="ru-RU"/>
        </w:rPr>
      </w:pPr>
      <w:r w:rsidRPr="00E15825">
        <w:rPr>
          <w:rFonts w:ascii="Times New Roman" w:eastAsia="Times New Roman" w:hAnsi="Times New Roman" w:cs="Times New Roman"/>
          <w:b/>
          <w:bCs/>
          <w:sz w:val="28"/>
          <w:szCs w:val="28"/>
          <w:lang w:val="en-US" w:eastAsia="ru-RU"/>
        </w:rPr>
        <w:t>Chin-Brow Measurement:</w:t>
      </w:r>
      <w:r w:rsidRPr="00E15825">
        <w:rPr>
          <w:rFonts w:ascii="Times New Roman" w:eastAsia="Times New Roman" w:hAnsi="Times New Roman" w:cs="Times New Roman"/>
          <w:sz w:val="28"/>
          <w:szCs w:val="28"/>
          <w:lang w:val="en-US" w:eastAsia="ru-RU"/>
        </w:rPr>
        <w:t xml:space="preserve"> This is a method used to measure the spine's curve in the neck. Patient with AS often have necks that angle forward sharply as the spine stiffens. If the doctor is going to use the chin-brow measurement to monitor your angle, the first time he or she takes the measurement </w:t>
      </w:r>
      <w:proofErr w:type="gramStart"/>
      <w:r w:rsidRPr="00E15825">
        <w:rPr>
          <w:rFonts w:ascii="Times New Roman" w:eastAsia="Times New Roman" w:hAnsi="Times New Roman" w:cs="Times New Roman"/>
          <w:sz w:val="28"/>
          <w:szCs w:val="28"/>
          <w:lang w:val="en-US" w:eastAsia="ru-RU"/>
        </w:rPr>
        <w:t>will be called</w:t>
      </w:r>
      <w:proofErr w:type="gramEnd"/>
      <w:r w:rsidRPr="00E15825">
        <w:rPr>
          <w:rFonts w:ascii="Times New Roman" w:eastAsia="Times New Roman" w:hAnsi="Times New Roman" w:cs="Times New Roman"/>
          <w:sz w:val="28"/>
          <w:szCs w:val="28"/>
          <w:lang w:val="en-US" w:eastAsia="ru-RU"/>
        </w:rPr>
        <w:t xml:space="preserve"> your "baseline." After that, the doctor will compare each successive chin-brow measurement to the baseline to see if the angle is getting worse.</w:t>
      </w:r>
    </w:p>
    <w:p w:rsidR="00E15825" w:rsidRPr="00E15825" w:rsidRDefault="00E15825" w:rsidP="00E15825">
      <w:pPr>
        <w:numPr>
          <w:ilvl w:val="0"/>
          <w:numId w:val="6"/>
        </w:numPr>
        <w:shd w:val="clear" w:color="auto" w:fill="FFFFFF"/>
        <w:spacing w:after="0" w:line="360" w:lineRule="auto"/>
        <w:ind w:left="0" w:firstLine="709"/>
        <w:rPr>
          <w:rFonts w:ascii="Times New Roman" w:eastAsia="Times New Roman" w:hAnsi="Times New Roman" w:cs="Times New Roman"/>
          <w:sz w:val="28"/>
          <w:szCs w:val="28"/>
          <w:lang w:val="en-US" w:eastAsia="ru-RU"/>
        </w:rPr>
      </w:pPr>
      <w:r w:rsidRPr="00E15825">
        <w:rPr>
          <w:rFonts w:ascii="Times New Roman" w:eastAsia="Times New Roman" w:hAnsi="Times New Roman" w:cs="Times New Roman"/>
          <w:b/>
          <w:bCs/>
          <w:sz w:val="28"/>
          <w:szCs w:val="28"/>
          <w:lang w:val="en-US" w:eastAsia="ru-RU"/>
        </w:rPr>
        <w:t>Chest Expansion: </w:t>
      </w:r>
      <w:r w:rsidRPr="00E15825">
        <w:rPr>
          <w:rFonts w:ascii="Times New Roman" w:eastAsia="Times New Roman" w:hAnsi="Times New Roman" w:cs="Times New Roman"/>
          <w:sz w:val="28"/>
          <w:szCs w:val="28"/>
          <w:lang w:val="en-US" w:eastAsia="ru-RU"/>
        </w:rPr>
        <w:t xml:space="preserve">When ankylosing spondylitis affects the mid-back region (thoracic spine), normal chest expansion </w:t>
      </w:r>
      <w:proofErr w:type="gramStart"/>
      <w:r w:rsidRPr="00E15825">
        <w:rPr>
          <w:rFonts w:ascii="Times New Roman" w:eastAsia="Times New Roman" w:hAnsi="Times New Roman" w:cs="Times New Roman"/>
          <w:sz w:val="28"/>
          <w:szCs w:val="28"/>
          <w:lang w:val="en-US" w:eastAsia="ru-RU"/>
        </w:rPr>
        <w:t>may be compromised</w:t>
      </w:r>
      <w:proofErr w:type="gramEnd"/>
      <w:r w:rsidRPr="00E15825">
        <w:rPr>
          <w:rFonts w:ascii="Times New Roman" w:eastAsia="Times New Roman" w:hAnsi="Times New Roman" w:cs="Times New Roman"/>
          <w:sz w:val="28"/>
          <w:szCs w:val="28"/>
          <w:lang w:val="en-US" w:eastAsia="ru-RU"/>
        </w:rPr>
        <w:t xml:space="preserve">. The amount of chest expansion </w:t>
      </w:r>
      <w:proofErr w:type="gramStart"/>
      <w:r w:rsidRPr="00E15825">
        <w:rPr>
          <w:rFonts w:ascii="Times New Roman" w:eastAsia="Times New Roman" w:hAnsi="Times New Roman" w:cs="Times New Roman"/>
          <w:sz w:val="28"/>
          <w:szCs w:val="28"/>
          <w:lang w:val="en-US" w:eastAsia="ru-RU"/>
        </w:rPr>
        <w:t>is measured</w:t>
      </w:r>
      <w:proofErr w:type="gramEnd"/>
      <w:r w:rsidRPr="00E15825">
        <w:rPr>
          <w:rFonts w:ascii="Times New Roman" w:eastAsia="Times New Roman" w:hAnsi="Times New Roman" w:cs="Times New Roman"/>
          <w:sz w:val="28"/>
          <w:szCs w:val="28"/>
          <w:lang w:val="en-US" w:eastAsia="ru-RU"/>
        </w:rPr>
        <w:t xml:space="preserve"> from deep expiration to full inspiration. Measurements significantly less than one inch, which is normal chest expansion, could indicate </w:t>
      </w:r>
      <w:proofErr w:type="gramStart"/>
      <w:r w:rsidRPr="00E15825">
        <w:rPr>
          <w:rFonts w:ascii="Times New Roman" w:eastAsia="Times New Roman" w:hAnsi="Times New Roman" w:cs="Times New Roman"/>
          <w:sz w:val="28"/>
          <w:szCs w:val="28"/>
          <w:lang w:val="en-US" w:eastAsia="ru-RU"/>
        </w:rPr>
        <w:t>AS.</w:t>
      </w:r>
      <w:proofErr w:type="gramEnd"/>
    </w:p>
    <w:p w:rsidR="00E15825" w:rsidRPr="00E15825" w:rsidRDefault="00E15825" w:rsidP="00E15825">
      <w:pPr>
        <w:numPr>
          <w:ilvl w:val="0"/>
          <w:numId w:val="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E15825">
        <w:rPr>
          <w:rFonts w:ascii="Times New Roman" w:eastAsia="Times New Roman" w:hAnsi="Times New Roman" w:cs="Times New Roman"/>
          <w:b/>
          <w:bCs/>
          <w:sz w:val="28"/>
          <w:szCs w:val="28"/>
          <w:lang w:val="en-US" w:eastAsia="ru-RU"/>
        </w:rPr>
        <w:t>Range of Motion: </w:t>
      </w:r>
      <w:r w:rsidRPr="00E15825">
        <w:rPr>
          <w:rFonts w:ascii="Times New Roman" w:eastAsia="Times New Roman" w:hAnsi="Times New Roman" w:cs="Times New Roman"/>
          <w:sz w:val="28"/>
          <w:szCs w:val="28"/>
          <w:lang w:val="en-US" w:eastAsia="ru-RU"/>
        </w:rPr>
        <w:t xml:space="preserve">To test how well and far your joints allow you to move, the doctor measures the degree to which you can perform movements of flexion, extension, lateral bending, and spinal rotation. </w:t>
      </w:r>
      <w:proofErr w:type="spellStart"/>
      <w:r w:rsidRPr="00E15825">
        <w:rPr>
          <w:rFonts w:ascii="Times New Roman" w:eastAsia="Times New Roman" w:hAnsi="Times New Roman" w:cs="Times New Roman"/>
          <w:sz w:val="28"/>
          <w:szCs w:val="28"/>
          <w:lang w:eastAsia="ru-RU"/>
        </w:rPr>
        <w:t>Asymmetry</w:t>
      </w:r>
      <w:proofErr w:type="spellEnd"/>
      <w:r w:rsidRPr="00E15825">
        <w:rPr>
          <w:rFonts w:ascii="Times New Roman" w:eastAsia="Times New Roman" w:hAnsi="Times New Roman" w:cs="Times New Roman"/>
          <w:sz w:val="28"/>
          <w:szCs w:val="28"/>
          <w:lang w:eastAsia="ru-RU"/>
        </w:rPr>
        <w:t xml:space="preserve"> </w:t>
      </w:r>
      <w:proofErr w:type="spellStart"/>
      <w:r w:rsidRPr="00E15825">
        <w:rPr>
          <w:rFonts w:ascii="Times New Roman" w:eastAsia="Times New Roman" w:hAnsi="Times New Roman" w:cs="Times New Roman"/>
          <w:sz w:val="28"/>
          <w:szCs w:val="28"/>
          <w:lang w:eastAsia="ru-RU"/>
        </w:rPr>
        <w:t>may</w:t>
      </w:r>
      <w:proofErr w:type="spellEnd"/>
      <w:r w:rsidRPr="00E15825">
        <w:rPr>
          <w:rFonts w:ascii="Times New Roman" w:eastAsia="Times New Roman" w:hAnsi="Times New Roman" w:cs="Times New Roman"/>
          <w:sz w:val="28"/>
          <w:szCs w:val="28"/>
          <w:lang w:eastAsia="ru-RU"/>
        </w:rPr>
        <w:t xml:space="preserve"> </w:t>
      </w:r>
      <w:proofErr w:type="spellStart"/>
      <w:r w:rsidRPr="00E15825">
        <w:rPr>
          <w:rFonts w:ascii="Times New Roman" w:eastAsia="Times New Roman" w:hAnsi="Times New Roman" w:cs="Times New Roman"/>
          <w:sz w:val="28"/>
          <w:szCs w:val="28"/>
          <w:lang w:eastAsia="ru-RU"/>
        </w:rPr>
        <w:t>also</w:t>
      </w:r>
      <w:proofErr w:type="spellEnd"/>
      <w:r w:rsidRPr="00E15825">
        <w:rPr>
          <w:rFonts w:ascii="Times New Roman" w:eastAsia="Times New Roman" w:hAnsi="Times New Roman" w:cs="Times New Roman"/>
          <w:sz w:val="28"/>
          <w:szCs w:val="28"/>
          <w:lang w:eastAsia="ru-RU"/>
        </w:rPr>
        <w:t xml:space="preserve"> </w:t>
      </w:r>
      <w:proofErr w:type="spellStart"/>
      <w:r w:rsidRPr="00E15825">
        <w:rPr>
          <w:rFonts w:ascii="Times New Roman" w:eastAsia="Times New Roman" w:hAnsi="Times New Roman" w:cs="Times New Roman"/>
          <w:sz w:val="28"/>
          <w:szCs w:val="28"/>
          <w:lang w:eastAsia="ru-RU"/>
        </w:rPr>
        <w:t>be</w:t>
      </w:r>
      <w:proofErr w:type="spellEnd"/>
      <w:r w:rsidRPr="00E15825">
        <w:rPr>
          <w:rFonts w:ascii="Times New Roman" w:eastAsia="Times New Roman" w:hAnsi="Times New Roman" w:cs="Times New Roman"/>
          <w:sz w:val="28"/>
          <w:szCs w:val="28"/>
          <w:lang w:eastAsia="ru-RU"/>
        </w:rPr>
        <w:t xml:space="preserve"> </w:t>
      </w:r>
      <w:proofErr w:type="spellStart"/>
      <w:r w:rsidRPr="00E15825">
        <w:rPr>
          <w:rFonts w:ascii="Times New Roman" w:eastAsia="Times New Roman" w:hAnsi="Times New Roman" w:cs="Times New Roman"/>
          <w:sz w:val="28"/>
          <w:szCs w:val="28"/>
          <w:lang w:eastAsia="ru-RU"/>
        </w:rPr>
        <w:t>noted</w:t>
      </w:r>
      <w:proofErr w:type="spellEnd"/>
      <w:r w:rsidRPr="00E15825">
        <w:rPr>
          <w:rFonts w:ascii="Times New Roman" w:eastAsia="Times New Roman" w:hAnsi="Times New Roman" w:cs="Times New Roman"/>
          <w:sz w:val="28"/>
          <w:szCs w:val="28"/>
          <w:lang w:eastAsia="ru-RU"/>
        </w:rPr>
        <w:t>.</w:t>
      </w:r>
    </w:p>
    <w:p w:rsidR="00E95DFF" w:rsidRPr="00E15825" w:rsidRDefault="00E95DFF" w:rsidP="00E15825">
      <w:pPr>
        <w:spacing w:after="0" w:line="360" w:lineRule="auto"/>
        <w:ind w:firstLine="709"/>
        <w:rPr>
          <w:rFonts w:ascii="Times New Roman" w:hAnsi="Times New Roman" w:cs="Times New Roman"/>
          <w:sz w:val="28"/>
          <w:szCs w:val="28"/>
          <w:lang w:val="en-US"/>
        </w:rPr>
      </w:pPr>
    </w:p>
    <w:p w:rsidR="00E15825" w:rsidRPr="00E15825" w:rsidRDefault="00E15825" w:rsidP="00E15825">
      <w:pPr>
        <w:spacing w:after="0" w:line="360" w:lineRule="auto"/>
        <w:rPr>
          <w:rFonts w:ascii="Times New Roman" w:hAnsi="Times New Roman" w:cs="Times New Roman"/>
          <w:sz w:val="28"/>
          <w:szCs w:val="28"/>
          <w:lang w:val="en-US"/>
        </w:rPr>
      </w:pPr>
      <w:r w:rsidRPr="00E15825">
        <w:rPr>
          <w:rFonts w:ascii="Times New Roman" w:hAnsi="Times New Roman" w:cs="Times New Roman"/>
          <w:noProof/>
          <w:sz w:val="28"/>
          <w:szCs w:val="28"/>
          <w:lang w:eastAsia="ru-RU"/>
        </w:rPr>
        <w:lastRenderedPageBreak/>
        <w:drawing>
          <wp:inline distT="0" distB="0" distL="0" distR="0" wp14:anchorId="1035759A" wp14:editId="3CEF5FD5">
            <wp:extent cx="6236686" cy="46887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6"/>
                    <a:srcRect l="35378" t="14907" r="7771" b="9107"/>
                    <a:stretch/>
                  </pic:blipFill>
                  <pic:spPr bwMode="auto">
                    <a:xfrm>
                      <a:off x="0" y="0"/>
                      <a:ext cx="6250303" cy="4698969"/>
                    </a:xfrm>
                    <a:prstGeom prst="rect">
                      <a:avLst/>
                    </a:prstGeom>
                    <a:ln>
                      <a:noFill/>
                    </a:ln>
                    <a:extLst>
                      <a:ext uri="{53640926-AAD7-44D8-BBD7-CCE9431645EC}">
                        <a14:shadowObscured xmlns:a14="http://schemas.microsoft.com/office/drawing/2010/main"/>
                      </a:ext>
                    </a:extLst>
                  </pic:spPr>
                </pic:pic>
              </a:graphicData>
            </a:graphic>
          </wp:inline>
        </w:drawing>
      </w:r>
    </w:p>
    <w:p w:rsidR="00E95DFF" w:rsidRPr="00E15825" w:rsidRDefault="00E95DFF" w:rsidP="00E15825">
      <w:pPr>
        <w:spacing w:after="0" w:line="360" w:lineRule="auto"/>
        <w:ind w:firstLine="709"/>
        <w:rPr>
          <w:rFonts w:ascii="Times New Roman" w:hAnsi="Times New Roman" w:cs="Times New Roman"/>
          <w:sz w:val="28"/>
          <w:szCs w:val="28"/>
          <w:lang w:val="en-US"/>
        </w:rPr>
      </w:pPr>
    </w:p>
    <w:p w:rsidR="00E95DFF" w:rsidRPr="00E15825" w:rsidRDefault="00E15825" w:rsidP="00E15825">
      <w:pPr>
        <w:spacing w:after="0" w:line="360" w:lineRule="auto"/>
        <w:ind w:firstLine="709"/>
        <w:jc w:val="center"/>
        <w:rPr>
          <w:rFonts w:ascii="Times New Roman" w:hAnsi="Times New Roman" w:cs="Times New Roman"/>
          <w:b/>
          <w:sz w:val="28"/>
          <w:szCs w:val="28"/>
          <w:lang w:val="en-US"/>
        </w:rPr>
      </w:pPr>
      <w:r w:rsidRPr="00E15825">
        <w:rPr>
          <w:rFonts w:ascii="Times New Roman" w:hAnsi="Times New Roman" w:cs="Times New Roman"/>
          <w:b/>
          <w:sz w:val="28"/>
          <w:szCs w:val="28"/>
          <w:lang w:val="en-US"/>
        </w:rPr>
        <w:t>TREATMENT</w:t>
      </w:r>
      <w:r>
        <w:rPr>
          <w:rFonts w:ascii="Times New Roman" w:hAnsi="Times New Roman" w:cs="Times New Roman"/>
          <w:b/>
          <w:sz w:val="28"/>
          <w:szCs w:val="28"/>
          <w:lang w:val="en-US"/>
        </w:rPr>
        <w:t xml:space="preserve"> (According to </w:t>
      </w:r>
      <w:r w:rsidRPr="00E15825">
        <w:rPr>
          <w:rFonts w:ascii="Times New Roman" w:hAnsi="Times New Roman" w:cs="Times New Roman"/>
          <w:b/>
          <w:sz w:val="28"/>
          <w:szCs w:val="28"/>
          <w:lang w:val="en-US"/>
        </w:rPr>
        <w:t>2016 update of ASAS-EULAR management recommendations</w:t>
      </w:r>
      <w:r>
        <w:rPr>
          <w:rFonts w:ascii="Times New Roman" w:hAnsi="Times New Roman" w:cs="Times New Roman"/>
          <w:b/>
          <w:sz w:val="28"/>
          <w:szCs w:val="28"/>
          <w:lang w:val="en-US"/>
        </w:rPr>
        <w:t>)</w:t>
      </w:r>
      <w:r w:rsidRPr="00E15825">
        <w:rPr>
          <w:rFonts w:ascii="Times New Roman" w:hAnsi="Times New Roman" w:cs="Times New Roman"/>
          <w:b/>
          <w:sz w:val="28"/>
          <w:szCs w:val="28"/>
          <w:lang w:val="en-US"/>
        </w:rPr>
        <w:t>:</w:t>
      </w:r>
      <w:bookmarkStart w:id="0" w:name="_GoBack"/>
      <w:bookmarkEnd w:id="0"/>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b/>
          <w:bCs/>
          <w:color w:val="auto"/>
          <w:sz w:val="28"/>
          <w:szCs w:val="28"/>
          <w:lang w:val="en-US"/>
        </w:rPr>
        <w:t>A. Recommendations for the treatment of patients with active AS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rStyle w:val="underlined"/>
          <w:sz w:val="28"/>
          <w:szCs w:val="28"/>
          <w:lang w:val="en-US"/>
        </w:rPr>
        <w:t>A1. Pharmacologic treatment.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In adults with active AS: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strongly recommend treatment with NSAIDs over no treatment with NSAIDs (PICO 2;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conditionally recommend continuous treatment with NSAIDs over on‐demand treatment with NSAIDs (PICO 1; very low‐quality evidence; vote 90%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do not recommend any particular NSAID as the preferred choice (PICO 3; moderate‐ to low‐quality evidence; conditional recommendation;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lastRenderedPageBreak/>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Evidence for the efficacy of NSAIDs in active AS comes from several placebo‐controlled trials (see Supplement E: Evidence Report, available on the </w:t>
      </w:r>
      <w:r w:rsidRPr="00E15825">
        <w:rPr>
          <w:i/>
          <w:iCs/>
          <w:sz w:val="28"/>
          <w:szCs w:val="28"/>
          <w:lang w:val="en-US"/>
        </w:rPr>
        <w:t>Arthritis Care &amp; Research</w:t>
      </w:r>
      <w:r w:rsidRPr="00E15825">
        <w:rPr>
          <w:sz w:val="28"/>
          <w:szCs w:val="28"/>
          <w:lang w:val="en-US"/>
        </w:rPr>
        <w:t> web site at </w:t>
      </w:r>
      <w:hyperlink r:id="rId87"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 overall quality of evidence </w:t>
      </w:r>
      <w:proofErr w:type="gramStart"/>
      <w:r w:rsidRPr="00E15825">
        <w:rPr>
          <w:sz w:val="28"/>
          <w:szCs w:val="28"/>
          <w:lang w:val="en-US"/>
        </w:rPr>
        <w:t>was low based</w:t>
      </w:r>
      <w:proofErr w:type="gramEnd"/>
      <w:r w:rsidRPr="00E15825">
        <w:rPr>
          <w:sz w:val="28"/>
          <w:szCs w:val="28"/>
          <w:lang w:val="en-US"/>
        </w:rPr>
        <w:t xml:space="preserve"> on serious risk of bias and imprecision for several critical outcomes. Despite this, the panel believed most patients benefit from treatment with NSAIDs and that the desirable consequences far outweighed undesirable consequences for the large majority of patients, justifying a strong recommendation. Although some patients have contraindications to treatment, the panel thought there was likely little variation </w:t>
      </w:r>
      <w:proofErr w:type="gramStart"/>
      <w:r w:rsidRPr="00E15825">
        <w:rPr>
          <w:sz w:val="28"/>
          <w:szCs w:val="28"/>
          <w:lang w:val="en-US"/>
        </w:rPr>
        <w:t>among patients in preferences for treatment with NSAIDs</w:t>
      </w:r>
      <w:proofErr w:type="gramEnd"/>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Continuous NSAID treatment was compared to on‐demand treatment in one controlled trial, which showed no significant differences between groups in any clinical end point, wide confidence intervals, and high risk of bias (see Supplement E: Evidence Report, available on the </w:t>
      </w:r>
      <w:r w:rsidRPr="00E15825">
        <w:rPr>
          <w:i/>
          <w:iCs/>
          <w:sz w:val="28"/>
          <w:szCs w:val="28"/>
          <w:lang w:val="en-US"/>
        </w:rPr>
        <w:t>Arthritis Care &amp; Research</w:t>
      </w:r>
      <w:r w:rsidRPr="00E15825">
        <w:rPr>
          <w:sz w:val="28"/>
          <w:szCs w:val="28"/>
          <w:lang w:val="en-US"/>
        </w:rPr>
        <w:t> web site at </w:t>
      </w:r>
      <w:hyperlink r:id="rId88"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Hypertension and depression were more common in the continuous treatment group. Despite this, the panel favored daily NSAID treatment for the period of active AS for most patients. The decision to use NSAIDs continuously may vary depending on the severity and intermittency of symptoms, comorbidities, and patient preferences. The dose </w:t>
      </w:r>
      <w:proofErr w:type="gramStart"/>
      <w:r w:rsidRPr="00E15825">
        <w:rPr>
          <w:sz w:val="28"/>
          <w:szCs w:val="28"/>
          <w:lang w:val="en-US"/>
        </w:rPr>
        <w:t>may also be changed</w:t>
      </w:r>
      <w:proofErr w:type="gramEnd"/>
      <w:r w:rsidRPr="00E15825">
        <w:rPr>
          <w:sz w:val="28"/>
          <w:szCs w:val="28"/>
          <w:lang w:val="en-US"/>
        </w:rPr>
        <w:t xml:space="preserve"> depending on symptom level.</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We did not identify any formal comparative effectiveness analyses of different NSAIDs in AS. Evidence of the relative efficacy of NSAIDs </w:t>
      </w:r>
      <w:proofErr w:type="gramStart"/>
      <w:r w:rsidRPr="00E15825">
        <w:rPr>
          <w:sz w:val="28"/>
          <w:szCs w:val="28"/>
          <w:lang w:val="en-US"/>
        </w:rPr>
        <w:t>was provided</w:t>
      </w:r>
      <w:proofErr w:type="gramEnd"/>
      <w:r w:rsidRPr="00E15825">
        <w:rPr>
          <w:sz w:val="28"/>
          <w:szCs w:val="28"/>
          <w:lang w:val="en-US"/>
        </w:rPr>
        <w:t xml:space="preserve"> by several head‐to‐head controlled trials that used either indomethacin (n = 12), celecoxib (n = 2), or naproxen (n = 1) as the comparator drug (see Supplement E: Evidence Report, available on the </w:t>
      </w:r>
      <w:r w:rsidRPr="00E15825">
        <w:rPr>
          <w:i/>
          <w:iCs/>
          <w:sz w:val="28"/>
          <w:szCs w:val="28"/>
          <w:lang w:val="en-US"/>
        </w:rPr>
        <w:t>Arthritis Care &amp; Research</w:t>
      </w:r>
      <w:r w:rsidRPr="00E15825">
        <w:rPr>
          <w:sz w:val="28"/>
          <w:szCs w:val="28"/>
          <w:lang w:val="en-US"/>
        </w:rPr>
        <w:t> web site at </w:t>
      </w:r>
      <w:hyperlink r:id="rId89"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There was no evidence to suggest that indomethacin had different effects on pain or stiffness compared to other NSAIDs, nor differences in efficacy between celecoxib and either diclofenac or </w:t>
      </w:r>
      <w:proofErr w:type="spellStart"/>
      <w:r w:rsidRPr="00E15825">
        <w:rPr>
          <w:sz w:val="28"/>
          <w:szCs w:val="28"/>
          <w:lang w:val="en-US"/>
        </w:rPr>
        <w:t>ketoprofen</w:t>
      </w:r>
      <w:proofErr w:type="spellEnd"/>
      <w:r w:rsidRPr="00E15825">
        <w:rPr>
          <w:sz w:val="28"/>
          <w:szCs w:val="28"/>
          <w:lang w:val="en-US"/>
        </w:rPr>
        <w:t xml:space="preserve">. Many studies had small samples and imprecise estimates of </w:t>
      </w:r>
      <w:r w:rsidRPr="00E15825">
        <w:rPr>
          <w:sz w:val="28"/>
          <w:szCs w:val="28"/>
          <w:lang w:val="en-US"/>
        </w:rPr>
        <w:lastRenderedPageBreak/>
        <w:t xml:space="preserve">effects, and the overall quality of evidence </w:t>
      </w:r>
      <w:proofErr w:type="gramStart"/>
      <w:r w:rsidRPr="00E15825">
        <w:rPr>
          <w:sz w:val="28"/>
          <w:szCs w:val="28"/>
          <w:lang w:val="en-US"/>
        </w:rPr>
        <w:t>was rated</w:t>
      </w:r>
      <w:proofErr w:type="gramEnd"/>
      <w:r w:rsidRPr="00E15825">
        <w:rPr>
          <w:sz w:val="28"/>
          <w:szCs w:val="28"/>
          <w:lang w:val="en-US"/>
        </w:rPr>
        <w:t xml:space="preserve"> as moderate to low, depending on the drug. Only one study had a </w:t>
      </w:r>
      <w:proofErr w:type="spellStart"/>
      <w:r w:rsidRPr="00E15825">
        <w:rPr>
          <w:sz w:val="28"/>
          <w:szCs w:val="28"/>
          <w:lang w:val="en-US"/>
        </w:rPr>
        <w:t>noninferiority</w:t>
      </w:r>
      <w:proofErr w:type="spellEnd"/>
      <w:r w:rsidRPr="00E15825">
        <w:rPr>
          <w:sz w:val="28"/>
          <w:szCs w:val="28"/>
          <w:lang w:val="en-US"/>
        </w:rPr>
        <w:t xml:space="preserve"> design. Based on this evidence, the panel recommended against designating any particular NSAIDs as the preferred treatment option. Choice of NSAID should be based on consideration of the patient's </w:t>
      </w:r>
      <w:proofErr w:type="gramStart"/>
      <w:r w:rsidRPr="00E15825">
        <w:rPr>
          <w:sz w:val="28"/>
          <w:szCs w:val="28"/>
          <w:lang w:val="en-US"/>
        </w:rPr>
        <w:t>past history</w:t>
      </w:r>
      <w:proofErr w:type="gramEnd"/>
      <w:r w:rsidRPr="00E15825">
        <w:rPr>
          <w:sz w:val="28"/>
          <w:szCs w:val="28"/>
          <w:lang w:val="en-US"/>
        </w:rPr>
        <w:t xml:space="preserve"> of NSAID use, risk factors for adverse effects, and comorbidities.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AS despite treatment with NSAIDs, we conditionally recommend against treatment with SAARDs (PICO 7; very low‐ to moderate‐quality evidence, depending on the drug; vote 90%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Evidence on the efficacy of SAARDs </w:t>
      </w:r>
      <w:proofErr w:type="gramStart"/>
      <w:r w:rsidRPr="00E15825">
        <w:rPr>
          <w:sz w:val="28"/>
          <w:szCs w:val="28"/>
          <w:lang w:val="en-US"/>
        </w:rPr>
        <w:t>was based</w:t>
      </w:r>
      <w:proofErr w:type="gramEnd"/>
      <w:r w:rsidRPr="00E15825">
        <w:rPr>
          <w:sz w:val="28"/>
          <w:szCs w:val="28"/>
          <w:lang w:val="en-US"/>
        </w:rPr>
        <w:t xml:space="preserve"> on controlled trials of sulfasalazine (n = 8), methotrexate (n = 3), </w:t>
      </w:r>
      <w:proofErr w:type="spellStart"/>
      <w:r w:rsidRPr="00E15825">
        <w:rPr>
          <w:sz w:val="28"/>
          <w:szCs w:val="28"/>
          <w:lang w:val="en-US"/>
        </w:rPr>
        <w:t>leflunomide</w:t>
      </w:r>
      <w:proofErr w:type="spellEnd"/>
      <w:r w:rsidRPr="00E15825">
        <w:rPr>
          <w:sz w:val="28"/>
          <w:szCs w:val="28"/>
          <w:lang w:val="en-US"/>
        </w:rPr>
        <w:t xml:space="preserve"> (n = 1), </w:t>
      </w:r>
      <w:proofErr w:type="spellStart"/>
      <w:r w:rsidRPr="00E15825">
        <w:rPr>
          <w:sz w:val="28"/>
          <w:szCs w:val="28"/>
          <w:lang w:val="en-US"/>
        </w:rPr>
        <w:t>pamidronate</w:t>
      </w:r>
      <w:proofErr w:type="spellEnd"/>
      <w:r w:rsidRPr="00E15825">
        <w:rPr>
          <w:sz w:val="28"/>
          <w:szCs w:val="28"/>
          <w:lang w:val="en-US"/>
        </w:rPr>
        <w:t xml:space="preserve"> (n = 1), thalidomide (n = 1), and </w:t>
      </w:r>
      <w:proofErr w:type="spellStart"/>
      <w:r w:rsidRPr="00E15825">
        <w:rPr>
          <w:sz w:val="28"/>
          <w:szCs w:val="28"/>
          <w:lang w:val="en-US"/>
        </w:rPr>
        <w:t>apremilast</w:t>
      </w:r>
      <w:proofErr w:type="spellEnd"/>
      <w:r w:rsidRPr="00E15825">
        <w:rPr>
          <w:sz w:val="28"/>
          <w:szCs w:val="28"/>
          <w:lang w:val="en-US"/>
        </w:rPr>
        <w:t xml:space="preserve"> (n = 1) (see Supplement E: Evidence Report, available on the </w:t>
      </w:r>
      <w:r w:rsidRPr="00E15825">
        <w:rPr>
          <w:i/>
          <w:iCs/>
          <w:sz w:val="28"/>
          <w:szCs w:val="28"/>
          <w:lang w:val="en-US"/>
        </w:rPr>
        <w:t>Arthritis Care &amp; Research</w:t>
      </w:r>
      <w:r w:rsidRPr="00E15825">
        <w:rPr>
          <w:sz w:val="28"/>
          <w:szCs w:val="28"/>
          <w:lang w:val="en-US"/>
        </w:rPr>
        <w:t> web site at </w:t>
      </w:r>
      <w:hyperlink r:id="rId90"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 quality of evidence for critical outcomes was moderate to very low. Sulfasalazine had a small beneficial effect on spinal pain but not on other outcomes, and had a higher risk of side effects than placebo. Although treatment with sulfasalazine did not improve peripheral joint counts, small benefit </w:t>
      </w:r>
      <w:proofErr w:type="gramStart"/>
      <w:r w:rsidRPr="00E15825">
        <w:rPr>
          <w:sz w:val="28"/>
          <w:szCs w:val="28"/>
          <w:lang w:val="en-US"/>
        </w:rPr>
        <w:t>was seen</w:t>
      </w:r>
      <w:proofErr w:type="gramEnd"/>
      <w:r w:rsidRPr="00E15825">
        <w:rPr>
          <w:sz w:val="28"/>
          <w:szCs w:val="28"/>
          <w:lang w:val="en-US"/>
        </w:rPr>
        <w:t xml:space="preserve"> in a composite measure of peripheral arthritis symptoms. The other medications </w:t>
      </w:r>
      <w:proofErr w:type="gramStart"/>
      <w:r w:rsidRPr="00E15825">
        <w:rPr>
          <w:sz w:val="28"/>
          <w:szCs w:val="28"/>
          <w:lang w:val="en-US"/>
        </w:rPr>
        <w:t>were tested</w:t>
      </w:r>
      <w:proofErr w:type="gramEnd"/>
      <w:r w:rsidRPr="00E15825">
        <w:rPr>
          <w:sz w:val="28"/>
          <w:szCs w:val="28"/>
          <w:lang w:val="en-US"/>
        </w:rPr>
        <w:t xml:space="preserve"> in small numbers of patients. Trials of methotrexate </w:t>
      </w:r>
      <w:proofErr w:type="gramStart"/>
      <w:r w:rsidRPr="00E15825">
        <w:rPr>
          <w:sz w:val="28"/>
          <w:szCs w:val="28"/>
          <w:lang w:val="en-US"/>
        </w:rPr>
        <w:t>were limited</w:t>
      </w:r>
      <w:proofErr w:type="gramEnd"/>
      <w:r w:rsidRPr="00E15825">
        <w:rPr>
          <w:sz w:val="28"/>
          <w:szCs w:val="28"/>
          <w:lang w:val="en-US"/>
        </w:rPr>
        <w:t xml:space="preserve"> by use of weekly doses of 10 milligrams or less. </w:t>
      </w:r>
      <w:proofErr w:type="gramStart"/>
      <w:r w:rsidRPr="00E15825">
        <w:rPr>
          <w:sz w:val="28"/>
          <w:szCs w:val="28"/>
          <w:lang w:val="en-US"/>
        </w:rPr>
        <w:t xml:space="preserve">Treatment with high‐dose </w:t>
      </w:r>
      <w:proofErr w:type="spellStart"/>
      <w:r w:rsidRPr="00E15825">
        <w:rPr>
          <w:sz w:val="28"/>
          <w:szCs w:val="28"/>
          <w:lang w:val="en-US"/>
        </w:rPr>
        <w:t>pamidronate</w:t>
      </w:r>
      <w:proofErr w:type="spellEnd"/>
      <w:r w:rsidRPr="00E15825">
        <w:rPr>
          <w:sz w:val="28"/>
          <w:szCs w:val="28"/>
          <w:lang w:val="en-US"/>
        </w:rPr>
        <w:t xml:space="preserve"> was associated with improved patient‐reported outcomes compared to low‐dose </w:t>
      </w:r>
      <w:proofErr w:type="spellStart"/>
      <w:r w:rsidRPr="00E15825">
        <w:rPr>
          <w:sz w:val="28"/>
          <w:szCs w:val="28"/>
          <w:lang w:val="en-US"/>
        </w:rPr>
        <w:t>pamidronate</w:t>
      </w:r>
      <w:proofErr w:type="spellEnd"/>
      <w:r w:rsidRPr="00E15825">
        <w:rPr>
          <w:sz w:val="28"/>
          <w:szCs w:val="28"/>
          <w:lang w:val="en-US"/>
        </w:rPr>
        <w:t xml:space="preserve"> and deserves further study.</w:t>
      </w:r>
      <w:proofErr w:type="gramEnd"/>
      <w:r w:rsidRPr="00E15825">
        <w:rPr>
          <w:sz w:val="28"/>
          <w:szCs w:val="28"/>
          <w:lang w:val="en-US"/>
        </w:rPr>
        <w:t xml:space="preserve"> Based on a very low to moderate level of evidence of small or no clinical effects, the panel recommended against the use of SAARDs in most patients whose AS remained active despite NSAID use; treatment with </w:t>
      </w:r>
      <w:proofErr w:type="spellStart"/>
      <w:r w:rsidRPr="00E15825">
        <w:rPr>
          <w:sz w:val="28"/>
          <w:szCs w:val="28"/>
          <w:lang w:val="en-US"/>
        </w:rPr>
        <w:t>TNFi</w:t>
      </w:r>
      <w:proofErr w:type="spellEnd"/>
      <w:r w:rsidRPr="00E15825">
        <w:rPr>
          <w:sz w:val="28"/>
          <w:szCs w:val="28"/>
          <w:lang w:val="en-US"/>
        </w:rPr>
        <w:t xml:space="preserve"> would be recommended instead (see PICO 6 below). Treatment with sulfasalazine or </w:t>
      </w:r>
      <w:proofErr w:type="spellStart"/>
      <w:r w:rsidRPr="00E15825">
        <w:rPr>
          <w:sz w:val="28"/>
          <w:szCs w:val="28"/>
          <w:lang w:val="en-US"/>
        </w:rPr>
        <w:t>pamidronate</w:t>
      </w:r>
      <w:proofErr w:type="spellEnd"/>
      <w:r w:rsidRPr="00E15825">
        <w:rPr>
          <w:sz w:val="28"/>
          <w:szCs w:val="28"/>
          <w:lang w:val="en-US"/>
        </w:rPr>
        <w:t xml:space="preserve"> </w:t>
      </w:r>
      <w:proofErr w:type="gramStart"/>
      <w:r w:rsidRPr="00E15825">
        <w:rPr>
          <w:sz w:val="28"/>
          <w:szCs w:val="28"/>
          <w:lang w:val="en-US"/>
        </w:rPr>
        <w:t>could be considered</w:t>
      </w:r>
      <w:proofErr w:type="gramEnd"/>
      <w:r w:rsidRPr="00E15825">
        <w:rPr>
          <w:sz w:val="28"/>
          <w:szCs w:val="28"/>
          <w:lang w:val="en-US"/>
        </w:rPr>
        <w:t xml:space="preserve"> for patients with contraindications to </w:t>
      </w:r>
      <w:proofErr w:type="spellStart"/>
      <w:r w:rsidRPr="00E15825">
        <w:rPr>
          <w:sz w:val="28"/>
          <w:szCs w:val="28"/>
          <w:lang w:val="en-US"/>
        </w:rPr>
        <w:t>TNFi</w:t>
      </w:r>
      <w:proofErr w:type="spellEnd"/>
      <w:r w:rsidRPr="00E15825">
        <w:rPr>
          <w:sz w:val="28"/>
          <w:szCs w:val="28"/>
          <w:lang w:val="en-US"/>
        </w:rPr>
        <w:t xml:space="preserve"> or those who decline treatment with </w:t>
      </w:r>
      <w:proofErr w:type="spellStart"/>
      <w:r w:rsidRPr="00E15825">
        <w:rPr>
          <w:sz w:val="28"/>
          <w:szCs w:val="28"/>
          <w:lang w:val="en-US"/>
        </w:rPr>
        <w:t>TNFi</w:t>
      </w:r>
      <w:proofErr w:type="spellEnd"/>
      <w:r w:rsidRPr="00E15825">
        <w:rPr>
          <w:sz w:val="28"/>
          <w:szCs w:val="28"/>
          <w:lang w:val="en-US"/>
        </w:rPr>
        <w:t xml:space="preserve">. Sulfasalazine </w:t>
      </w:r>
      <w:proofErr w:type="gramStart"/>
      <w:r w:rsidRPr="00E15825">
        <w:rPr>
          <w:sz w:val="28"/>
          <w:szCs w:val="28"/>
          <w:lang w:val="en-US"/>
        </w:rPr>
        <w:t>could be considered</w:t>
      </w:r>
      <w:proofErr w:type="gramEnd"/>
      <w:r w:rsidRPr="00E15825">
        <w:rPr>
          <w:sz w:val="28"/>
          <w:szCs w:val="28"/>
          <w:lang w:val="en-US"/>
        </w:rPr>
        <w:t xml:space="preserve"> for those with prominent peripheral arthritis.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AS despite treatment with NSAIDs</w:t>
      </w:r>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lastRenderedPageBreak/>
        <w:t xml:space="preserve">We strongly recommend treatment with </w:t>
      </w:r>
      <w:proofErr w:type="spellStart"/>
      <w:r w:rsidRPr="00E15825">
        <w:rPr>
          <w:b/>
          <w:bCs/>
          <w:sz w:val="28"/>
          <w:szCs w:val="28"/>
          <w:lang w:val="en-US"/>
        </w:rPr>
        <w:t>TNFi</w:t>
      </w:r>
      <w:proofErr w:type="spellEnd"/>
      <w:r w:rsidRPr="00E15825">
        <w:rPr>
          <w:b/>
          <w:bCs/>
          <w:sz w:val="28"/>
          <w:szCs w:val="28"/>
          <w:lang w:val="en-US"/>
        </w:rPr>
        <w:t xml:space="preserve"> over no treatment with </w:t>
      </w:r>
      <w:proofErr w:type="spellStart"/>
      <w:r w:rsidRPr="00E15825">
        <w:rPr>
          <w:b/>
          <w:bCs/>
          <w:sz w:val="28"/>
          <w:szCs w:val="28"/>
          <w:lang w:val="en-US"/>
        </w:rPr>
        <w:t>TNFi</w:t>
      </w:r>
      <w:proofErr w:type="spellEnd"/>
      <w:r w:rsidRPr="00E15825">
        <w:rPr>
          <w:b/>
          <w:bCs/>
          <w:sz w:val="28"/>
          <w:szCs w:val="28"/>
          <w:lang w:val="en-US"/>
        </w:rPr>
        <w:t xml:space="preserve"> (PICO 6; moderate‐quality evidence; vote 80%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We do not recommend any particular </w:t>
      </w:r>
      <w:proofErr w:type="spellStart"/>
      <w:r w:rsidRPr="00E15825">
        <w:rPr>
          <w:b/>
          <w:bCs/>
          <w:sz w:val="28"/>
          <w:szCs w:val="28"/>
          <w:lang w:val="en-US"/>
        </w:rPr>
        <w:t>TNFi</w:t>
      </w:r>
      <w:proofErr w:type="spellEnd"/>
      <w:r w:rsidRPr="00E15825">
        <w:rPr>
          <w:b/>
          <w:bCs/>
          <w:sz w:val="28"/>
          <w:szCs w:val="28"/>
          <w:lang w:val="en-US"/>
        </w:rPr>
        <w:t xml:space="preserve"> as the preferred choice, except for patients with concomitant inflammatory bowel disease or recurrent iritis (PICO 5; moderate‐quality evidence; conditional recommendation;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Evidence supporting the use of </w:t>
      </w:r>
      <w:proofErr w:type="spellStart"/>
      <w:r w:rsidRPr="00E15825">
        <w:rPr>
          <w:sz w:val="28"/>
          <w:szCs w:val="28"/>
          <w:lang w:val="en-US"/>
        </w:rPr>
        <w:t>TNFi</w:t>
      </w:r>
      <w:proofErr w:type="spellEnd"/>
      <w:r w:rsidRPr="00E15825">
        <w:rPr>
          <w:sz w:val="28"/>
          <w:szCs w:val="28"/>
          <w:lang w:val="en-US"/>
        </w:rPr>
        <w:t xml:space="preserve"> in this setting comes from 13 randomized controlled trials, which showed large and consistent improvements in clinical outcomes (see Supplement E: Evidence Report, available on the </w:t>
      </w:r>
      <w:r w:rsidRPr="00E15825">
        <w:rPr>
          <w:i/>
          <w:iCs/>
          <w:sz w:val="28"/>
          <w:szCs w:val="28"/>
          <w:lang w:val="en-US"/>
        </w:rPr>
        <w:t>Arthritis Care &amp; Research</w:t>
      </w:r>
      <w:r w:rsidRPr="00E15825">
        <w:rPr>
          <w:sz w:val="28"/>
          <w:szCs w:val="28"/>
          <w:lang w:val="en-US"/>
        </w:rPr>
        <w:t> web site at </w:t>
      </w:r>
      <w:hyperlink r:id="rId91"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 trials were short term, with most limited to 24 weeks. </w:t>
      </w:r>
      <w:proofErr w:type="gramStart"/>
      <w:r w:rsidRPr="00E15825">
        <w:rPr>
          <w:sz w:val="28"/>
          <w:szCs w:val="28"/>
          <w:lang w:val="en-US"/>
        </w:rPr>
        <w:t xml:space="preserve">Although the panel believed that a strong recommendation was justified based on the overall balance between desirable and undesirable consequences of treatment, the panel emphasized that the decision to begin treatment with a </w:t>
      </w:r>
      <w:proofErr w:type="spellStart"/>
      <w:r w:rsidRPr="00E15825">
        <w:rPr>
          <w:sz w:val="28"/>
          <w:szCs w:val="28"/>
          <w:lang w:val="en-US"/>
        </w:rPr>
        <w:t>TNFi</w:t>
      </w:r>
      <w:proofErr w:type="spellEnd"/>
      <w:r w:rsidRPr="00E15825">
        <w:rPr>
          <w:sz w:val="28"/>
          <w:szCs w:val="28"/>
          <w:lang w:val="en-US"/>
        </w:rPr>
        <w:t xml:space="preserve"> should be made only after education of the patient on the potential risks and benefits of the medication, and with consideration that some patients may value the relief of symptoms and risk of side effects differently.</w:t>
      </w:r>
      <w:proofErr w:type="gramEnd"/>
      <w:r w:rsidRPr="00E15825">
        <w:rPr>
          <w:sz w:val="28"/>
          <w:szCs w:val="28"/>
          <w:lang w:val="en-US"/>
        </w:rPr>
        <w:t xml:space="preserve"> The panel judged that lack of response (or intolerance) to at least </w:t>
      </w:r>
      <w:proofErr w:type="gramStart"/>
      <w:r w:rsidRPr="00E15825">
        <w:rPr>
          <w:sz w:val="28"/>
          <w:szCs w:val="28"/>
          <w:lang w:val="en-US"/>
        </w:rPr>
        <w:t>2</w:t>
      </w:r>
      <w:proofErr w:type="gramEnd"/>
      <w:r w:rsidRPr="00E15825">
        <w:rPr>
          <w:sz w:val="28"/>
          <w:szCs w:val="28"/>
          <w:lang w:val="en-US"/>
        </w:rPr>
        <w:t xml:space="preserve"> different NSAIDs over 1 month, or incomplete responses to at least 2 different NSAIDs over 2 months, would be adequate trials with which to judge NSAID responses.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proofErr w:type="gramStart"/>
      <w:r w:rsidRPr="00E15825">
        <w:rPr>
          <w:sz w:val="28"/>
          <w:szCs w:val="28"/>
          <w:lang w:val="en-US"/>
        </w:rPr>
        <w:t xml:space="preserve">Evidence to guide the choice of </w:t>
      </w:r>
      <w:proofErr w:type="spellStart"/>
      <w:r w:rsidRPr="00E15825">
        <w:rPr>
          <w:sz w:val="28"/>
          <w:szCs w:val="28"/>
          <w:lang w:val="en-US"/>
        </w:rPr>
        <w:t>TNFi</w:t>
      </w:r>
      <w:proofErr w:type="spellEnd"/>
      <w:r w:rsidRPr="00E15825">
        <w:rPr>
          <w:sz w:val="28"/>
          <w:szCs w:val="28"/>
          <w:lang w:val="en-US"/>
        </w:rPr>
        <w:t>, based on either superior efficacy or lower toxicity of one drug versus another</w:t>
      </w:r>
      <w:proofErr w:type="gramEnd"/>
      <w:r w:rsidRPr="00E15825">
        <w:rPr>
          <w:sz w:val="28"/>
          <w:szCs w:val="28"/>
          <w:lang w:val="en-US"/>
        </w:rPr>
        <w:t xml:space="preserve">, </w:t>
      </w:r>
      <w:proofErr w:type="gramStart"/>
      <w:r w:rsidRPr="00E15825">
        <w:rPr>
          <w:sz w:val="28"/>
          <w:szCs w:val="28"/>
          <w:lang w:val="en-US"/>
        </w:rPr>
        <w:t>is limited</w:t>
      </w:r>
      <w:proofErr w:type="gramEnd"/>
      <w:r w:rsidRPr="00E15825">
        <w:rPr>
          <w:sz w:val="28"/>
          <w:szCs w:val="28"/>
          <w:lang w:val="en-US"/>
        </w:rPr>
        <w:t xml:space="preserve">. In a small 2‐year open‐label trial, there were no differences in clinical outcomes between patients randomized to receive infliximab or </w:t>
      </w:r>
      <w:proofErr w:type="spellStart"/>
      <w:r w:rsidRPr="00E15825">
        <w:rPr>
          <w:sz w:val="28"/>
          <w:szCs w:val="28"/>
          <w:lang w:val="en-US"/>
        </w:rPr>
        <w:t>etanercept</w:t>
      </w:r>
      <w:proofErr w:type="spellEnd"/>
      <w:r w:rsidRPr="00E15825">
        <w:rPr>
          <w:sz w:val="28"/>
          <w:szCs w:val="28"/>
          <w:lang w:val="en-US"/>
        </w:rPr>
        <w:t xml:space="preserve"> (see Supplement E: Evidence Report, available on the </w:t>
      </w:r>
      <w:r w:rsidRPr="00E15825">
        <w:rPr>
          <w:i/>
          <w:iCs/>
          <w:sz w:val="28"/>
          <w:szCs w:val="28"/>
          <w:lang w:val="en-US"/>
        </w:rPr>
        <w:t xml:space="preserve">Arthritis Care &amp; </w:t>
      </w:r>
      <w:proofErr w:type="spellStart"/>
      <w:r w:rsidRPr="00E15825">
        <w:rPr>
          <w:i/>
          <w:iCs/>
          <w:sz w:val="28"/>
          <w:szCs w:val="28"/>
          <w:lang w:val="en-US"/>
        </w:rPr>
        <w:t>Research</w:t>
      </w:r>
      <w:r w:rsidRPr="00E15825">
        <w:rPr>
          <w:sz w:val="28"/>
          <w:szCs w:val="28"/>
          <w:lang w:val="en-US"/>
        </w:rPr>
        <w:t>web</w:t>
      </w:r>
      <w:proofErr w:type="spellEnd"/>
      <w:r w:rsidRPr="00E15825">
        <w:rPr>
          <w:sz w:val="28"/>
          <w:szCs w:val="28"/>
          <w:lang w:val="en-US"/>
        </w:rPr>
        <w:t xml:space="preserve"> site at </w:t>
      </w:r>
      <w:hyperlink r:id="rId92"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Two meta‐analyses that tested indirect comparisons among </w:t>
      </w:r>
      <w:proofErr w:type="spellStart"/>
      <w:r w:rsidRPr="00E15825">
        <w:rPr>
          <w:sz w:val="28"/>
          <w:szCs w:val="28"/>
          <w:lang w:val="en-US"/>
        </w:rPr>
        <w:t>TNFi</w:t>
      </w:r>
      <w:proofErr w:type="spellEnd"/>
      <w:r w:rsidRPr="00E15825">
        <w:rPr>
          <w:sz w:val="28"/>
          <w:szCs w:val="28"/>
          <w:lang w:val="en-US"/>
        </w:rPr>
        <w:t xml:space="preserve"> using data from controlled trials showed no differences in ASAS criteria for 20% improvement in disease activity responses, while other clinical outcomes </w:t>
      </w:r>
      <w:proofErr w:type="gramStart"/>
      <w:r w:rsidRPr="00E15825">
        <w:rPr>
          <w:sz w:val="28"/>
          <w:szCs w:val="28"/>
          <w:lang w:val="en-US"/>
        </w:rPr>
        <w:t>were not examined</w:t>
      </w:r>
      <w:proofErr w:type="gramEnd"/>
      <w:r w:rsidRPr="00E15825">
        <w:rPr>
          <w:sz w:val="28"/>
          <w:szCs w:val="28"/>
          <w:lang w:val="en-US"/>
        </w:rPr>
        <w:t xml:space="preserve">. The quality of evidence was judged </w:t>
      </w:r>
      <w:proofErr w:type="gramStart"/>
      <w:r w:rsidRPr="00E15825">
        <w:rPr>
          <w:sz w:val="28"/>
          <w:szCs w:val="28"/>
          <w:lang w:val="en-US"/>
        </w:rPr>
        <w:t>to be moderate</w:t>
      </w:r>
      <w:proofErr w:type="gramEnd"/>
      <w:r w:rsidRPr="00E15825">
        <w:rPr>
          <w:sz w:val="28"/>
          <w:szCs w:val="28"/>
          <w:lang w:val="en-US"/>
        </w:rPr>
        <w:t xml:space="preserve"> and insufficient to support recommendation of the use of one </w:t>
      </w:r>
      <w:proofErr w:type="spellStart"/>
      <w:r w:rsidRPr="00E15825">
        <w:rPr>
          <w:sz w:val="28"/>
          <w:szCs w:val="28"/>
          <w:lang w:val="en-US"/>
        </w:rPr>
        <w:t>TNFi</w:t>
      </w:r>
      <w:proofErr w:type="spellEnd"/>
      <w:r w:rsidRPr="00E15825">
        <w:rPr>
          <w:sz w:val="28"/>
          <w:szCs w:val="28"/>
          <w:lang w:val="en-US"/>
        </w:rPr>
        <w:t xml:space="preserve"> </w:t>
      </w:r>
      <w:r w:rsidRPr="00E15825">
        <w:rPr>
          <w:sz w:val="28"/>
          <w:szCs w:val="28"/>
          <w:lang w:val="en-US"/>
        </w:rPr>
        <w:lastRenderedPageBreak/>
        <w:t xml:space="preserve">over another. However, the panel thought that in patients with inflammatory bowel disease or frequently recurrent iritis, treatment with infliximab or </w:t>
      </w:r>
      <w:proofErr w:type="spellStart"/>
      <w:r w:rsidRPr="00E15825">
        <w:rPr>
          <w:sz w:val="28"/>
          <w:szCs w:val="28"/>
          <w:lang w:val="en-US"/>
        </w:rPr>
        <w:t>adalimumab</w:t>
      </w:r>
      <w:proofErr w:type="spellEnd"/>
      <w:r w:rsidRPr="00E15825">
        <w:rPr>
          <w:sz w:val="28"/>
          <w:szCs w:val="28"/>
          <w:lang w:val="en-US"/>
        </w:rPr>
        <w:t xml:space="preserve"> should be preferred over </w:t>
      </w:r>
      <w:proofErr w:type="spellStart"/>
      <w:r w:rsidRPr="00E15825">
        <w:rPr>
          <w:sz w:val="28"/>
          <w:szCs w:val="28"/>
          <w:lang w:val="en-US"/>
        </w:rPr>
        <w:t>etanercept</w:t>
      </w:r>
      <w:proofErr w:type="spellEnd"/>
      <w:r w:rsidRPr="00E15825">
        <w:rPr>
          <w:sz w:val="28"/>
          <w:szCs w:val="28"/>
          <w:lang w:val="en-US"/>
        </w:rPr>
        <w:t xml:space="preserve"> (see PICO 29 and 32 below).</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active AS despite treatment with NSAIDs and who have contraindications to </w:t>
      </w:r>
      <w:proofErr w:type="spellStart"/>
      <w:r w:rsidRPr="00E15825">
        <w:rPr>
          <w:b/>
          <w:bCs/>
          <w:sz w:val="28"/>
          <w:szCs w:val="28"/>
          <w:lang w:val="en-US"/>
        </w:rPr>
        <w:t>TNFi</w:t>
      </w:r>
      <w:proofErr w:type="spellEnd"/>
      <w:r w:rsidRPr="00E15825">
        <w:rPr>
          <w:b/>
          <w:bCs/>
          <w:sz w:val="28"/>
          <w:szCs w:val="28"/>
          <w:lang w:val="en-US"/>
        </w:rPr>
        <w:t>, we conditionally recommend treatment with a SAARD over treatment with a non‐</w:t>
      </w:r>
      <w:proofErr w:type="spellStart"/>
      <w:r w:rsidRPr="00E15825">
        <w:rPr>
          <w:b/>
          <w:bCs/>
          <w:sz w:val="28"/>
          <w:szCs w:val="28"/>
          <w:lang w:val="en-US"/>
        </w:rPr>
        <w:t>TNFi</w:t>
      </w:r>
      <w:proofErr w:type="spellEnd"/>
      <w:r w:rsidRPr="00E15825">
        <w:rPr>
          <w:b/>
          <w:bCs/>
          <w:sz w:val="28"/>
          <w:szCs w:val="28"/>
          <w:lang w:val="en-US"/>
        </w:rPr>
        <w:t xml:space="preserve"> biologic agent (PICO 8; very low to low‐quality evidence, depending on the drug;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No studies have directly compared treatment responses to non‐</w:t>
      </w:r>
      <w:proofErr w:type="spellStart"/>
      <w:r w:rsidRPr="00E15825">
        <w:rPr>
          <w:sz w:val="28"/>
          <w:szCs w:val="28"/>
          <w:lang w:val="en-US"/>
        </w:rPr>
        <w:t>TNFi</w:t>
      </w:r>
      <w:proofErr w:type="spellEnd"/>
      <w:r w:rsidRPr="00E15825">
        <w:rPr>
          <w:sz w:val="28"/>
          <w:szCs w:val="28"/>
          <w:lang w:val="en-US"/>
        </w:rPr>
        <w:t xml:space="preserve"> biologic agents and SAARDs in patients with active AS who have contraindications to </w:t>
      </w:r>
      <w:proofErr w:type="spellStart"/>
      <w:r w:rsidRPr="00E15825">
        <w:rPr>
          <w:sz w:val="28"/>
          <w:szCs w:val="28"/>
          <w:lang w:val="en-US"/>
        </w:rPr>
        <w:t>TNFi</w:t>
      </w:r>
      <w:proofErr w:type="spellEnd"/>
      <w:r w:rsidRPr="00E15825">
        <w:rPr>
          <w:sz w:val="28"/>
          <w:szCs w:val="28"/>
          <w:lang w:val="en-US"/>
        </w:rPr>
        <w:t xml:space="preserve">. Similarly, these treatments </w:t>
      </w:r>
      <w:proofErr w:type="gramStart"/>
      <w:r w:rsidRPr="00E15825">
        <w:rPr>
          <w:sz w:val="28"/>
          <w:szCs w:val="28"/>
          <w:lang w:val="en-US"/>
        </w:rPr>
        <w:t>have not been compared</w:t>
      </w:r>
      <w:proofErr w:type="gramEnd"/>
      <w:r w:rsidRPr="00E15825">
        <w:rPr>
          <w:sz w:val="28"/>
          <w:szCs w:val="28"/>
          <w:lang w:val="en-US"/>
        </w:rPr>
        <w:t xml:space="preserve"> in patients who are </w:t>
      </w:r>
      <w:proofErr w:type="spellStart"/>
      <w:r w:rsidRPr="00E15825">
        <w:rPr>
          <w:sz w:val="28"/>
          <w:szCs w:val="28"/>
          <w:lang w:val="en-US"/>
        </w:rPr>
        <w:t>nonresponders</w:t>
      </w:r>
      <w:proofErr w:type="spellEnd"/>
      <w:r w:rsidRPr="00E15825">
        <w:rPr>
          <w:sz w:val="28"/>
          <w:szCs w:val="28"/>
          <w:lang w:val="en-US"/>
        </w:rPr>
        <w:t xml:space="preserve"> to </w:t>
      </w:r>
      <w:proofErr w:type="spellStart"/>
      <w:r w:rsidRPr="00E15825">
        <w:rPr>
          <w:sz w:val="28"/>
          <w:szCs w:val="28"/>
          <w:lang w:val="en-US"/>
        </w:rPr>
        <w:t>TNFi</w:t>
      </w:r>
      <w:proofErr w:type="spellEnd"/>
      <w:r w:rsidRPr="00E15825">
        <w:rPr>
          <w:sz w:val="28"/>
          <w:szCs w:val="28"/>
          <w:lang w:val="en-US"/>
        </w:rPr>
        <w:t>, which might provide indirect evidence. Therefore, qualitative comparisons of responses to SAARDs (PICO 7) and non‐</w:t>
      </w:r>
      <w:proofErr w:type="spellStart"/>
      <w:r w:rsidRPr="00E15825">
        <w:rPr>
          <w:sz w:val="28"/>
          <w:szCs w:val="28"/>
          <w:lang w:val="en-US"/>
        </w:rPr>
        <w:t>TNFi</w:t>
      </w:r>
      <w:proofErr w:type="spellEnd"/>
      <w:r w:rsidRPr="00E15825">
        <w:rPr>
          <w:sz w:val="28"/>
          <w:szCs w:val="28"/>
          <w:lang w:val="en-US"/>
        </w:rPr>
        <w:t xml:space="preserve"> biologic agents </w:t>
      </w:r>
      <w:proofErr w:type="gramStart"/>
      <w:r w:rsidRPr="00E15825">
        <w:rPr>
          <w:sz w:val="28"/>
          <w:szCs w:val="28"/>
          <w:lang w:val="en-US"/>
        </w:rPr>
        <w:t>were used</w:t>
      </w:r>
      <w:proofErr w:type="gramEnd"/>
      <w:r w:rsidRPr="00E15825">
        <w:rPr>
          <w:sz w:val="28"/>
          <w:szCs w:val="28"/>
          <w:lang w:val="en-US"/>
        </w:rPr>
        <w:t xml:space="preserve"> to address this question. Data from small single‐arm studies comparing patients before and after treatment with </w:t>
      </w:r>
      <w:proofErr w:type="spellStart"/>
      <w:r w:rsidRPr="00E15825">
        <w:rPr>
          <w:sz w:val="28"/>
          <w:szCs w:val="28"/>
          <w:lang w:val="en-US"/>
        </w:rPr>
        <w:t>abatacept</w:t>
      </w:r>
      <w:proofErr w:type="spellEnd"/>
      <w:r w:rsidRPr="00E15825">
        <w:rPr>
          <w:sz w:val="28"/>
          <w:szCs w:val="28"/>
          <w:lang w:val="en-US"/>
        </w:rPr>
        <w:t xml:space="preserve"> and </w:t>
      </w:r>
      <w:proofErr w:type="spellStart"/>
      <w:r w:rsidRPr="00E15825">
        <w:rPr>
          <w:sz w:val="28"/>
          <w:szCs w:val="28"/>
          <w:lang w:val="en-US"/>
        </w:rPr>
        <w:t>tocilizumab</w:t>
      </w:r>
      <w:proofErr w:type="spellEnd"/>
      <w:r w:rsidRPr="00E15825">
        <w:rPr>
          <w:sz w:val="28"/>
          <w:szCs w:val="28"/>
          <w:lang w:val="en-US"/>
        </w:rPr>
        <w:t xml:space="preserve"> failed to demonstrate benefit for important patient outcomes, while a study of </w:t>
      </w:r>
      <w:proofErr w:type="spellStart"/>
      <w:r w:rsidRPr="00E15825">
        <w:rPr>
          <w:sz w:val="28"/>
          <w:szCs w:val="28"/>
          <w:lang w:val="en-US"/>
        </w:rPr>
        <w:t>ustekinumab</w:t>
      </w:r>
      <w:proofErr w:type="spellEnd"/>
      <w:r w:rsidRPr="00E15825">
        <w:rPr>
          <w:sz w:val="28"/>
          <w:szCs w:val="28"/>
          <w:lang w:val="en-US"/>
        </w:rPr>
        <w:t xml:space="preserve"> showed some evidence of effectiveness but had serious risk of bias (see Supplement E: Evidence Report, available on the </w:t>
      </w:r>
      <w:r w:rsidRPr="00E15825">
        <w:rPr>
          <w:i/>
          <w:iCs/>
          <w:sz w:val="28"/>
          <w:szCs w:val="28"/>
          <w:lang w:val="en-US"/>
        </w:rPr>
        <w:t>Arthritis Care &amp; Research</w:t>
      </w:r>
      <w:r w:rsidRPr="00E15825">
        <w:rPr>
          <w:sz w:val="28"/>
          <w:szCs w:val="28"/>
          <w:lang w:val="en-US"/>
        </w:rPr>
        <w:t> web site at </w:t>
      </w:r>
      <w:hyperlink r:id="rId93"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A trial of rituximab showed little benefit in patients who had not responded to prior treatment with </w:t>
      </w:r>
      <w:proofErr w:type="spellStart"/>
      <w:r w:rsidRPr="00E15825">
        <w:rPr>
          <w:sz w:val="28"/>
          <w:szCs w:val="28"/>
          <w:lang w:val="en-US"/>
        </w:rPr>
        <w:t>TNFi</w:t>
      </w:r>
      <w:proofErr w:type="spellEnd"/>
      <w:r w:rsidRPr="00E15825">
        <w:rPr>
          <w:sz w:val="28"/>
          <w:szCs w:val="28"/>
          <w:lang w:val="en-US"/>
        </w:rPr>
        <w:t>. The overall level of evidence supporting use of non‐</w:t>
      </w:r>
      <w:proofErr w:type="spellStart"/>
      <w:r w:rsidRPr="00E15825">
        <w:rPr>
          <w:sz w:val="28"/>
          <w:szCs w:val="28"/>
          <w:lang w:val="en-US"/>
        </w:rPr>
        <w:t>TNFi</w:t>
      </w:r>
      <w:proofErr w:type="spellEnd"/>
      <w:r w:rsidRPr="00E15825">
        <w:rPr>
          <w:sz w:val="28"/>
          <w:szCs w:val="28"/>
          <w:lang w:val="en-US"/>
        </w:rPr>
        <w:t xml:space="preserve"> biologic agents was very low. The panel thought there were insufficient data currently to support the use of presently available non‐</w:t>
      </w:r>
      <w:proofErr w:type="spellStart"/>
      <w:r w:rsidRPr="00E15825">
        <w:rPr>
          <w:sz w:val="28"/>
          <w:szCs w:val="28"/>
          <w:lang w:val="en-US"/>
        </w:rPr>
        <w:t>TNFi</w:t>
      </w:r>
      <w:proofErr w:type="spellEnd"/>
      <w:r w:rsidRPr="00E15825">
        <w:rPr>
          <w:sz w:val="28"/>
          <w:szCs w:val="28"/>
          <w:lang w:val="en-US"/>
        </w:rPr>
        <w:t xml:space="preserve"> biologic agents in active AS, and favored treatment with sulfasalazine or </w:t>
      </w:r>
      <w:proofErr w:type="spellStart"/>
      <w:r w:rsidRPr="00E15825">
        <w:rPr>
          <w:sz w:val="28"/>
          <w:szCs w:val="28"/>
          <w:lang w:val="en-US"/>
        </w:rPr>
        <w:t>pamidronate</w:t>
      </w:r>
      <w:proofErr w:type="spellEnd"/>
      <w:r w:rsidRPr="00E15825">
        <w:rPr>
          <w:sz w:val="28"/>
          <w:szCs w:val="28"/>
          <w:lang w:val="en-US"/>
        </w:rPr>
        <w:t xml:space="preserve"> before the use of these medications, despite the limited benefit of sulfasalazine and limited evidence for </w:t>
      </w:r>
      <w:proofErr w:type="spellStart"/>
      <w:r w:rsidRPr="00E15825">
        <w:rPr>
          <w:sz w:val="28"/>
          <w:szCs w:val="28"/>
          <w:lang w:val="en-US"/>
        </w:rPr>
        <w:t>pamidronate</w:t>
      </w:r>
      <w:proofErr w:type="spellEnd"/>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active AS despite treatment with the first </w:t>
      </w:r>
      <w:proofErr w:type="spellStart"/>
      <w:r w:rsidRPr="00E15825">
        <w:rPr>
          <w:b/>
          <w:bCs/>
          <w:sz w:val="28"/>
          <w:szCs w:val="28"/>
          <w:lang w:val="en-US"/>
        </w:rPr>
        <w:t>TNFi</w:t>
      </w:r>
      <w:proofErr w:type="spellEnd"/>
      <w:r w:rsidRPr="00E15825">
        <w:rPr>
          <w:b/>
          <w:bCs/>
          <w:sz w:val="28"/>
          <w:szCs w:val="28"/>
          <w:lang w:val="en-US"/>
        </w:rPr>
        <w:t xml:space="preserve"> used</w:t>
      </w:r>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We conditionally recommend treatment with a different </w:t>
      </w:r>
      <w:proofErr w:type="spellStart"/>
      <w:r w:rsidRPr="00E15825">
        <w:rPr>
          <w:b/>
          <w:bCs/>
          <w:sz w:val="28"/>
          <w:szCs w:val="28"/>
          <w:lang w:val="en-US"/>
        </w:rPr>
        <w:t>TNFi</w:t>
      </w:r>
      <w:proofErr w:type="spellEnd"/>
      <w:r w:rsidRPr="00E15825">
        <w:rPr>
          <w:b/>
          <w:bCs/>
          <w:sz w:val="28"/>
          <w:szCs w:val="28"/>
          <w:lang w:val="en-US"/>
        </w:rPr>
        <w:t xml:space="preserve"> over adding a SAARD (PICO 9; very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lastRenderedPageBreak/>
        <w:t xml:space="preserve">We conditionally recommend treatment with a different </w:t>
      </w:r>
      <w:proofErr w:type="spellStart"/>
      <w:r w:rsidRPr="00E15825">
        <w:rPr>
          <w:b/>
          <w:bCs/>
          <w:sz w:val="28"/>
          <w:szCs w:val="28"/>
          <w:lang w:val="en-US"/>
        </w:rPr>
        <w:t>TNFi</w:t>
      </w:r>
      <w:proofErr w:type="spellEnd"/>
      <w:r w:rsidRPr="00E15825">
        <w:rPr>
          <w:b/>
          <w:bCs/>
          <w:sz w:val="28"/>
          <w:szCs w:val="28"/>
          <w:lang w:val="en-US"/>
        </w:rPr>
        <w:t xml:space="preserve"> over treatment with a non‐</w:t>
      </w:r>
      <w:proofErr w:type="spellStart"/>
      <w:r w:rsidRPr="00E15825">
        <w:rPr>
          <w:b/>
          <w:bCs/>
          <w:sz w:val="28"/>
          <w:szCs w:val="28"/>
          <w:lang w:val="en-US"/>
        </w:rPr>
        <w:t>TNFi</w:t>
      </w:r>
      <w:proofErr w:type="spellEnd"/>
      <w:r w:rsidRPr="00E15825">
        <w:rPr>
          <w:b/>
          <w:bCs/>
          <w:sz w:val="28"/>
          <w:szCs w:val="28"/>
          <w:lang w:val="en-US"/>
        </w:rPr>
        <w:t xml:space="preserve"> biologic agent (PICO 10; very low‐quality evidence; vote 90%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This recommendation addresses </w:t>
      </w:r>
      <w:proofErr w:type="spellStart"/>
      <w:r w:rsidRPr="00E15825">
        <w:rPr>
          <w:sz w:val="28"/>
          <w:szCs w:val="28"/>
          <w:lang w:val="en-US"/>
        </w:rPr>
        <w:t>TNFi</w:t>
      </w:r>
      <w:proofErr w:type="spellEnd"/>
      <w:r w:rsidRPr="00E15825">
        <w:rPr>
          <w:sz w:val="28"/>
          <w:szCs w:val="28"/>
          <w:lang w:val="en-US"/>
        </w:rPr>
        <w:t xml:space="preserve"> failures due to ineffectiveness rather than toxicity. No studies directly compared treatment with SAARDs </w:t>
      </w:r>
      <w:proofErr w:type="gramStart"/>
      <w:r w:rsidRPr="00E15825">
        <w:rPr>
          <w:sz w:val="28"/>
          <w:szCs w:val="28"/>
          <w:lang w:val="en-US"/>
        </w:rPr>
        <w:t xml:space="preserve">to treatment with </w:t>
      </w:r>
      <w:proofErr w:type="spellStart"/>
      <w:r w:rsidRPr="00E15825">
        <w:rPr>
          <w:sz w:val="28"/>
          <w:szCs w:val="28"/>
          <w:lang w:val="en-US"/>
        </w:rPr>
        <w:t>TNFi</w:t>
      </w:r>
      <w:proofErr w:type="spellEnd"/>
      <w:r w:rsidRPr="00E15825">
        <w:rPr>
          <w:sz w:val="28"/>
          <w:szCs w:val="28"/>
          <w:lang w:val="en-US"/>
        </w:rPr>
        <w:t xml:space="preserve"> for patients with active AS whose treatment with the first </w:t>
      </w:r>
      <w:proofErr w:type="spellStart"/>
      <w:r w:rsidRPr="00E15825">
        <w:rPr>
          <w:sz w:val="28"/>
          <w:szCs w:val="28"/>
          <w:lang w:val="en-US"/>
        </w:rPr>
        <w:t>TNFi</w:t>
      </w:r>
      <w:proofErr w:type="spellEnd"/>
      <w:r w:rsidRPr="00E15825">
        <w:rPr>
          <w:sz w:val="28"/>
          <w:szCs w:val="28"/>
          <w:lang w:val="en-US"/>
        </w:rPr>
        <w:t xml:space="preserve"> was unsuccessful</w:t>
      </w:r>
      <w:proofErr w:type="gramEnd"/>
      <w:r w:rsidRPr="00E15825">
        <w:rPr>
          <w:sz w:val="28"/>
          <w:szCs w:val="28"/>
          <w:lang w:val="en-US"/>
        </w:rPr>
        <w:t xml:space="preserve">. The recommendation </w:t>
      </w:r>
      <w:proofErr w:type="gramStart"/>
      <w:r w:rsidRPr="00E15825">
        <w:rPr>
          <w:sz w:val="28"/>
          <w:szCs w:val="28"/>
          <w:lang w:val="en-US"/>
        </w:rPr>
        <w:t>was therefore based</w:t>
      </w:r>
      <w:proofErr w:type="gramEnd"/>
      <w:r w:rsidRPr="00E15825">
        <w:rPr>
          <w:sz w:val="28"/>
          <w:szCs w:val="28"/>
          <w:lang w:val="en-US"/>
        </w:rPr>
        <w:t xml:space="preserve"> on indirect comparison of outcomes of patients who switched to a different </w:t>
      </w:r>
      <w:proofErr w:type="spellStart"/>
      <w:r w:rsidRPr="00E15825">
        <w:rPr>
          <w:sz w:val="28"/>
          <w:szCs w:val="28"/>
          <w:lang w:val="en-US"/>
        </w:rPr>
        <w:t>TNFi</w:t>
      </w:r>
      <w:proofErr w:type="spellEnd"/>
      <w:r w:rsidRPr="00E15825">
        <w:rPr>
          <w:sz w:val="28"/>
          <w:szCs w:val="28"/>
          <w:lang w:val="en-US"/>
        </w:rPr>
        <w:t xml:space="preserve"> after failure of the first </w:t>
      </w:r>
      <w:proofErr w:type="spellStart"/>
      <w:r w:rsidRPr="00E15825">
        <w:rPr>
          <w:sz w:val="28"/>
          <w:szCs w:val="28"/>
          <w:lang w:val="en-US"/>
        </w:rPr>
        <w:t>TNFi</w:t>
      </w:r>
      <w:proofErr w:type="spellEnd"/>
      <w:r w:rsidRPr="00E15825">
        <w:rPr>
          <w:sz w:val="28"/>
          <w:szCs w:val="28"/>
          <w:lang w:val="en-US"/>
        </w:rPr>
        <w:t>, and outcomes of patients treated with either SAARDs or non‐</w:t>
      </w:r>
      <w:proofErr w:type="spellStart"/>
      <w:r w:rsidRPr="00E15825">
        <w:rPr>
          <w:sz w:val="28"/>
          <w:szCs w:val="28"/>
          <w:lang w:val="en-US"/>
        </w:rPr>
        <w:t>TNFi</w:t>
      </w:r>
      <w:proofErr w:type="spellEnd"/>
      <w:r w:rsidRPr="00E15825">
        <w:rPr>
          <w:sz w:val="28"/>
          <w:szCs w:val="28"/>
          <w:lang w:val="en-US"/>
        </w:rPr>
        <w:t xml:space="preserve"> biologic agents (addressed in PICO 7 and PICO 8, respectively). Data from 4 observational studies suggested that patients who switched </w:t>
      </w:r>
      <w:proofErr w:type="spellStart"/>
      <w:r w:rsidRPr="00E15825">
        <w:rPr>
          <w:sz w:val="28"/>
          <w:szCs w:val="28"/>
          <w:lang w:val="en-US"/>
        </w:rPr>
        <w:t>TNFi</w:t>
      </w:r>
      <w:proofErr w:type="spellEnd"/>
      <w:r w:rsidRPr="00E15825">
        <w:rPr>
          <w:sz w:val="28"/>
          <w:szCs w:val="28"/>
          <w:lang w:val="en-US"/>
        </w:rPr>
        <w:t xml:space="preserve"> improved on average in important clinical outcomes, although the improvement was often less than in primary responses (see Supplement E: Evidence Report, available on the </w:t>
      </w:r>
      <w:r w:rsidRPr="00E15825">
        <w:rPr>
          <w:i/>
          <w:iCs/>
          <w:sz w:val="28"/>
          <w:szCs w:val="28"/>
          <w:lang w:val="en-US"/>
        </w:rPr>
        <w:t>Arthritis Care &amp; Research</w:t>
      </w:r>
      <w:r w:rsidRPr="00E15825">
        <w:rPr>
          <w:sz w:val="28"/>
          <w:szCs w:val="28"/>
          <w:lang w:val="en-US"/>
        </w:rPr>
        <w:t> web site at </w:t>
      </w:r>
      <w:hyperlink r:id="rId94"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These improvements were larger </w:t>
      </w:r>
      <w:proofErr w:type="gramStart"/>
      <w:r w:rsidRPr="00E15825">
        <w:rPr>
          <w:sz w:val="28"/>
          <w:szCs w:val="28"/>
          <w:lang w:val="en-US"/>
        </w:rPr>
        <w:t>than those</w:t>
      </w:r>
      <w:proofErr w:type="gramEnd"/>
      <w:r w:rsidRPr="00E15825">
        <w:rPr>
          <w:sz w:val="28"/>
          <w:szCs w:val="28"/>
          <w:lang w:val="en-US"/>
        </w:rPr>
        <w:t xml:space="preserve"> reported with either SAARDs or non‐</w:t>
      </w:r>
      <w:proofErr w:type="spellStart"/>
      <w:r w:rsidRPr="00E15825">
        <w:rPr>
          <w:sz w:val="28"/>
          <w:szCs w:val="28"/>
          <w:lang w:val="en-US"/>
        </w:rPr>
        <w:t>TNFi</w:t>
      </w:r>
      <w:proofErr w:type="spellEnd"/>
      <w:r w:rsidRPr="00E15825">
        <w:rPr>
          <w:sz w:val="28"/>
          <w:szCs w:val="28"/>
          <w:lang w:val="en-US"/>
        </w:rPr>
        <w:t xml:space="preserve"> biologic agents. The overall quality of evidence was low given the risk of bias associated with open‐label treatment, and the lack of studies that directly addressed these questions. The panel recommended that after failure of the first </w:t>
      </w:r>
      <w:proofErr w:type="spellStart"/>
      <w:r w:rsidRPr="00E15825">
        <w:rPr>
          <w:sz w:val="28"/>
          <w:szCs w:val="28"/>
          <w:lang w:val="en-US"/>
        </w:rPr>
        <w:t>TNFi</w:t>
      </w:r>
      <w:proofErr w:type="spellEnd"/>
      <w:r w:rsidRPr="00E15825">
        <w:rPr>
          <w:sz w:val="28"/>
          <w:szCs w:val="28"/>
          <w:lang w:val="en-US"/>
        </w:rPr>
        <w:t xml:space="preserve">, switching to a different </w:t>
      </w:r>
      <w:proofErr w:type="spellStart"/>
      <w:r w:rsidRPr="00E15825">
        <w:rPr>
          <w:sz w:val="28"/>
          <w:szCs w:val="28"/>
          <w:lang w:val="en-US"/>
        </w:rPr>
        <w:t>TNFi</w:t>
      </w:r>
      <w:proofErr w:type="spellEnd"/>
      <w:r w:rsidRPr="00E15825">
        <w:rPr>
          <w:sz w:val="28"/>
          <w:szCs w:val="28"/>
          <w:lang w:val="en-US"/>
        </w:rPr>
        <w:t xml:space="preserve"> </w:t>
      </w:r>
      <w:proofErr w:type="gramStart"/>
      <w:r w:rsidRPr="00E15825">
        <w:rPr>
          <w:sz w:val="28"/>
          <w:szCs w:val="28"/>
          <w:lang w:val="en-US"/>
        </w:rPr>
        <w:t>be considered</w:t>
      </w:r>
      <w:proofErr w:type="gramEnd"/>
      <w:r w:rsidRPr="00E15825">
        <w:rPr>
          <w:sz w:val="28"/>
          <w:szCs w:val="28"/>
          <w:lang w:val="en-US"/>
        </w:rPr>
        <w:t xml:space="preserve"> for most patients. The panel did not consider the question of treatment options after failure of the second </w:t>
      </w:r>
      <w:proofErr w:type="spellStart"/>
      <w:r w:rsidRPr="00E15825">
        <w:rPr>
          <w:sz w:val="28"/>
          <w:szCs w:val="28"/>
          <w:lang w:val="en-US"/>
        </w:rPr>
        <w:t>TNFi</w:t>
      </w:r>
      <w:proofErr w:type="spellEnd"/>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AS, we strongly recommend against treatment with systemic glucocorticoids (PICO 4;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Treatment with systemic glucocorticoids was examined in </w:t>
      </w:r>
      <w:proofErr w:type="gramStart"/>
      <w:r w:rsidRPr="00E15825">
        <w:rPr>
          <w:sz w:val="28"/>
          <w:szCs w:val="28"/>
          <w:lang w:val="en-US"/>
        </w:rPr>
        <w:t>3</w:t>
      </w:r>
      <w:proofErr w:type="gramEnd"/>
      <w:r w:rsidRPr="00E15825">
        <w:rPr>
          <w:sz w:val="28"/>
          <w:szCs w:val="28"/>
          <w:lang w:val="en-US"/>
        </w:rPr>
        <w:t xml:space="preserve"> case series and 1 short‐term (2‐week) randomized placebo‐controlled trial of high‐dose glucocorticoids (see Supplement E: Evidence Report, available on the </w:t>
      </w:r>
      <w:r w:rsidRPr="00E15825">
        <w:rPr>
          <w:i/>
          <w:iCs/>
          <w:sz w:val="28"/>
          <w:szCs w:val="28"/>
          <w:lang w:val="en-US"/>
        </w:rPr>
        <w:t>Arthritis Care &amp; Research</w:t>
      </w:r>
      <w:r w:rsidRPr="00E15825">
        <w:rPr>
          <w:sz w:val="28"/>
          <w:szCs w:val="28"/>
          <w:lang w:val="en-US"/>
        </w:rPr>
        <w:t> web site at </w:t>
      </w:r>
      <w:hyperlink r:id="rId95"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In the randomized trial, </w:t>
      </w:r>
      <w:proofErr w:type="gramStart"/>
      <w:r w:rsidRPr="00E15825">
        <w:rPr>
          <w:sz w:val="28"/>
          <w:szCs w:val="28"/>
          <w:lang w:val="en-US"/>
        </w:rPr>
        <w:t>5</w:t>
      </w:r>
      <w:proofErr w:type="gramEnd"/>
      <w:r w:rsidRPr="00E15825">
        <w:rPr>
          <w:sz w:val="28"/>
          <w:szCs w:val="28"/>
          <w:lang w:val="en-US"/>
        </w:rPr>
        <w:t xml:space="preserve"> of 10 outcomes favored prednisolone 50 milligrams daily over </w:t>
      </w:r>
      <w:r w:rsidRPr="00E15825">
        <w:rPr>
          <w:sz w:val="28"/>
          <w:szCs w:val="28"/>
          <w:lang w:val="en-US"/>
        </w:rPr>
        <w:lastRenderedPageBreak/>
        <w:t xml:space="preserve">placebo. In the case series, there were modest improvements with treatment over 4–6 months, but the studies had a serious risk of bias and imprecise estimates of effect. The overall quality of evidence </w:t>
      </w:r>
      <w:proofErr w:type="gramStart"/>
      <w:r w:rsidRPr="00E15825">
        <w:rPr>
          <w:sz w:val="28"/>
          <w:szCs w:val="28"/>
          <w:lang w:val="en-US"/>
        </w:rPr>
        <w:t>was therefore rated</w:t>
      </w:r>
      <w:proofErr w:type="gramEnd"/>
      <w:r w:rsidRPr="00E15825">
        <w:rPr>
          <w:sz w:val="28"/>
          <w:szCs w:val="28"/>
          <w:lang w:val="en-US"/>
        </w:rPr>
        <w:t xml:space="preserve"> as very low. The panel concluded that there was little evidence to support long‐term treatment with systemic glucocorticoids. However, it </w:t>
      </w:r>
      <w:proofErr w:type="gramStart"/>
      <w:r w:rsidRPr="00E15825">
        <w:rPr>
          <w:sz w:val="28"/>
          <w:szCs w:val="28"/>
          <w:lang w:val="en-US"/>
        </w:rPr>
        <w:t>was recognized</w:t>
      </w:r>
      <w:proofErr w:type="gramEnd"/>
      <w:r w:rsidRPr="00E15825">
        <w:rPr>
          <w:sz w:val="28"/>
          <w:szCs w:val="28"/>
          <w:lang w:val="en-US"/>
        </w:rPr>
        <w:t xml:space="preserve"> that short‐term glucocorticoid treatment with rapid tapering could be considered in a very limited number of circumstances, including a </w:t>
      </w:r>
      <w:proofErr w:type="spellStart"/>
      <w:r w:rsidRPr="00E15825">
        <w:rPr>
          <w:sz w:val="28"/>
          <w:szCs w:val="28"/>
          <w:lang w:val="en-US"/>
        </w:rPr>
        <w:t>polyarticular</w:t>
      </w:r>
      <w:proofErr w:type="spellEnd"/>
      <w:r w:rsidRPr="00E15825">
        <w:rPr>
          <w:sz w:val="28"/>
          <w:szCs w:val="28"/>
          <w:lang w:val="en-US"/>
        </w:rPr>
        <w:t xml:space="preserve"> flare of peripheral arthritis, flares during pregnancy, or concomitantly with flares of inflammatory bowel disease.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AS and isolated active </w:t>
      </w:r>
      <w:proofErr w:type="spellStart"/>
      <w:r w:rsidRPr="00E15825">
        <w:rPr>
          <w:b/>
          <w:bCs/>
          <w:sz w:val="28"/>
          <w:szCs w:val="28"/>
          <w:lang w:val="en-US"/>
        </w:rPr>
        <w:t>sacroiliitis</w:t>
      </w:r>
      <w:proofErr w:type="spellEnd"/>
      <w:r w:rsidRPr="00E15825">
        <w:rPr>
          <w:b/>
          <w:bCs/>
          <w:sz w:val="28"/>
          <w:szCs w:val="28"/>
          <w:lang w:val="en-US"/>
        </w:rPr>
        <w:t xml:space="preserve"> despite treatment with NSAIDs, we conditionally recommend treatment with locally administered parenteral glucocorticoids over no treatment with local glucocorticoids (PICO 13;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Sacroiliac joint glucocorticoid injections were tested in </w:t>
      </w:r>
      <w:proofErr w:type="gramStart"/>
      <w:r w:rsidRPr="00E15825">
        <w:rPr>
          <w:sz w:val="28"/>
          <w:szCs w:val="28"/>
          <w:lang w:val="en-US"/>
        </w:rPr>
        <w:t>2</w:t>
      </w:r>
      <w:proofErr w:type="gramEnd"/>
      <w:r w:rsidRPr="00E15825">
        <w:rPr>
          <w:sz w:val="28"/>
          <w:szCs w:val="28"/>
          <w:lang w:val="en-US"/>
        </w:rPr>
        <w:t xml:space="preserve"> small controlled trials, only one of which was blinded. These results, along with those of 2 observational studies, showed improvement in pain for up to 9 months (see Supplement E: Evidence Report, available on the </w:t>
      </w:r>
      <w:r w:rsidRPr="00E15825">
        <w:rPr>
          <w:i/>
          <w:iCs/>
          <w:sz w:val="28"/>
          <w:szCs w:val="28"/>
          <w:lang w:val="en-US"/>
        </w:rPr>
        <w:t>Arthritis Care &amp; Research</w:t>
      </w:r>
      <w:r w:rsidRPr="00E15825">
        <w:rPr>
          <w:sz w:val="28"/>
          <w:szCs w:val="28"/>
          <w:lang w:val="en-US"/>
        </w:rPr>
        <w:t> web site at </w:t>
      </w:r>
      <w:hyperlink r:id="rId96"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However, the studies had serious risk of bias and some included patients with undifferentiated </w:t>
      </w:r>
      <w:proofErr w:type="spellStart"/>
      <w:r w:rsidRPr="00E15825">
        <w:rPr>
          <w:sz w:val="28"/>
          <w:szCs w:val="28"/>
          <w:lang w:val="en-US"/>
        </w:rPr>
        <w:t>SpA</w:t>
      </w:r>
      <w:proofErr w:type="spellEnd"/>
      <w:r w:rsidRPr="00E15825">
        <w:rPr>
          <w:sz w:val="28"/>
          <w:szCs w:val="28"/>
          <w:lang w:val="en-US"/>
        </w:rPr>
        <w:t xml:space="preserve">. The panel recognized that this treatment </w:t>
      </w:r>
      <w:proofErr w:type="gramStart"/>
      <w:r w:rsidRPr="00E15825">
        <w:rPr>
          <w:sz w:val="28"/>
          <w:szCs w:val="28"/>
          <w:lang w:val="en-US"/>
        </w:rPr>
        <w:t>may</w:t>
      </w:r>
      <w:proofErr w:type="gramEnd"/>
      <w:r w:rsidRPr="00E15825">
        <w:rPr>
          <w:sz w:val="28"/>
          <w:szCs w:val="28"/>
          <w:lang w:val="en-US"/>
        </w:rPr>
        <w:t xml:space="preserve"> be a useful option when weighed against the alternative of escalating systemic treatment.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AS with stable axial disease and active </w:t>
      </w:r>
      <w:proofErr w:type="spellStart"/>
      <w:r w:rsidRPr="00E15825">
        <w:rPr>
          <w:b/>
          <w:bCs/>
          <w:sz w:val="28"/>
          <w:szCs w:val="28"/>
          <w:lang w:val="en-US"/>
        </w:rPr>
        <w:t>enthesitis</w:t>
      </w:r>
      <w:proofErr w:type="spellEnd"/>
      <w:r w:rsidRPr="00E15825">
        <w:rPr>
          <w:b/>
          <w:bCs/>
          <w:sz w:val="28"/>
          <w:szCs w:val="28"/>
          <w:lang w:val="en-US"/>
        </w:rPr>
        <w:t xml:space="preserve"> despite treatment with NSAIDs, we conditionally recommend using treatment with locally administered parenteral glucocorticoids over no treatment with local glucocorticoids. </w:t>
      </w:r>
      <w:proofErr w:type="spellStart"/>
      <w:r w:rsidRPr="00E15825">
        <w:rPr>
          <w:b/>
          <w:bCs/>
          <w:sz w:val="28"/>
          <w:szCs w:val="28"/>
          <w:lang w:val="en-US"/>
        </w:rPr>
        <w:t>Peri</w:t>
      </w:r>
      <w:proofErr w:type="spellEnd"/>
      <w:r w:rsidRPr="00E15825">
        <w:rPr>
          <w:b/>
          <w:bCs/>
          <w:sz w:val="28"/>
          <w:szCs w:val="28"/>
          <w:lang w:val="en-US"/>
        </w:rPr>
        <w:t xml:space="preserve">‐tendon injections of Achilles, patellar, and quadriceps tendons </w:t>
      </w:r>
      <w:proofErr w:type="gramStart"/>
      <w:r w:rsidRPr="00E15825">
        <w:rPr>
          <w:b/>
          <w:bCs/>
          <w:sz w:val="28"/>
          <w:szCs w:val="28"/>
          <w:lang w:val="en-US"/>
        </w:rPr>
        <w:t>should be avoided</w:t>
      </w:r>
      <w:proofErr w:type="gramEnd"/>
      <w:r w:rsidRPr="00E15825">
        <w:rPr>
          <w:b/>
          <w:bCs/>
          <w:sz w:val="28"/>
          <w:szCs w:val="28"/>
          <w:lang w:val="en-US"/>
        </w:rPr>
        <w:t>. (PICO 14; very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AS with stable axial disease and active peripheral arthritis despite treatment with NSAIDs, we conditionally recommend using treatment </w:t>
      </w:r>
      <w:r w:rsidRPr="00E15825">
        <w:rPr>
          <w:b/>
          <w:bCs/>
          <w:sz w:val="28"/>
          <w:szCs w:val="28"/>
          <w:lang w:val="en-US"/>
        </w:rPr>
        <w:lastRenderedPageBreak/>
        <w:t>with locally administered parenteral glucocorticoids over no treatment with local glucocorticoids (PICO 15;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Our search identified no studies of local glucocorticoid injections for the treatment of </w:t>
      </w:r>
      <w:proofErr w:type="spellStart"/>
      <w:r w:rsidRPr="00E15825">
        <w:rPr>
          <w:sz w:val="28"/>
          <w:szCs w:val="28"/>
          <w:lang w:val="en-US"/>
        </w:rPr>
        <w:t>enthesitis</w:t>
      </w:r>
      <w:proofErr w:type="spellEnd"/>
      <w:r w:rsidRPr="00E15825">
        <w:rPr>
          <w:sz w:val="28"/>
          <w:szCs w:val="28"/>
          <w:lang w:val="en-US"/>
        </w:rPr>
        <w:t xml:space="preserve"> in patients with AS. The recommendation </w:t>
      </w:r>
      <w:proofErr w:type="gramStart"/>
      <w:r w:rsidRPr="00E15825">
        <w:rPr>
          <w:sz w:val="28"/>
          <w:szCs w:val="28"/>
          <w:lang w:val="en-US"/>
        </w:rPr>
        <w:t>was based</w:t>
      </w:r>
      <w:proofErr w:type="gramEnd"/>
      <w:r w:rsidRPr="00E15825">
        <w:rPr>
          <w:sz w:val="28"/>
          <w:szCs w:val="28"/>
          <w:lang w:val="en-US"/>
        </w:rPr>
        <w:t xml:space="preserve"> on extrapolation from experiences in other diseases, which showed modest short‐term benefit from </w:t>
      </w:r>
      <w:proofErr w:type="spellStart"/>
      <w:r w:rsidRPr="00E15825">
        <w:rPr>
          <w:sz w:val="28"/>
          <w:szCs w:val="28"/>
          <w:lang w:val="en-US"/>
        </w:rPr>
        <w:t>peri</w:t>
      </w:r>
      <w:proofErr w:type="spellEnd"/>
      <w:r w:rsidRPr="00E15825">
        <w:rPr>
          <w:sz w:val="28"/>
          <w:szCs w:val="28"/>
          <w:lang w:val="en-US"/>
        </w:rPr>
        <w:t>‐tendon injections, depending on the site </w:t>
      </w:r>
      <w:hyperlink r:id="rId97" w:anchor="acr22708-bib-0018" w:history="1">
        <w:r w:rsidRPr="00E15825">
          <w:rPr>
            <w:rStyle w:val="a6"/>
            <w:color w:val="auto"/>
            <w:sz w:val="28"/>
            <w:szCs w:val="28"/>
            <w:u w:val="none"/>
            <w:lang w:val="en-US"/>
          </w:rPr>
          <w:t>18</w:t>
        </w:r>
      </w:hyperlink>
      <w:r w:rsidRPr="00E15825">
        <w:rPr>
          <w:sz w:val="28"/>
          <w:szCs w:val="28"/>
          <w:lang w:val="en-US"/>
        </w:rPr>
        <w:t>. The panel specifically recommended against local injections around the Achilles, patellar, and quadriceps tendons, given the risk of tendon rupture </w:t>
      </w:r>
      <w:hyperlink r:id="rId98" w:anchor="acr22708-bib-0019" w:history="1">
        <w:r w:rsidRPr="00E15825">
          <w:rPr>
            <w:rStyle w:val="a6"/>
            <w:color w:val="auto"/>
            <w:sz w:val="28"/>
            <w:szCs w:val="28"/>
            <w:u w:val="none"/>
            <w:lang w:val="en-US"/>
          </w:rPr>
          <w:t>19</w:t>
        </w:r>
      </w:hyperlink>
      <w:r w:rsidRPr="00E15825">
        <w:rPr>
          <w:sz w:val="28"/>
          <w:szCs w:val="28"/>
          <w:lang w:val="en-US"/>
        </w:rPr>
        <w:t xml:space="preserve">. Injections at other sites, such as the greater trochanter, pelvic rim, and plantar fascia attachment, </w:t>
      </w:r>
      <w:proofErr w:type="gramStart"/>
      <w:r w:rsidRPr="00E15825">
        <w:rPr>
          <w:sz w:val="28"/>
          <w:szCs w:val="28"/>
          <w:lang w:val="en-US"/>
        </w:rPr>
        <w:t>could be considered</w:t>
      </w:r>
      <w:proofErr w:type="gramEnd"/>
      <w:r w:rsidRPr="00E15825">
        <w:rPr>
          <w:sz w:val="28"/>
          <w:szCs w:val="28"/>
          <w:lang w:val="en-US"/>
        </w:rPr>
        <w:t xml:space="preserve"> based on symptom severity and patient preferences for local versus systemic treatment with a SAARD or </w:t>
      </w:r>
      <w:proofErr w:type="spellStart"/>
      <w:r w:rsidRPr="00E15825">
        <w:rPr>
          <w:sz w:val="28"/>
          <w:szCs w:val="28"/>
          <w:lang w:val="en-US"/>
        </w:rPr>
        <w:t>TNFi</w:t>
      </w:r>
      <w:proofErr w:type="spellEnd"/>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Similarly, no studies reported on the use of </w:t>
      </w:r>
      <w:proofErr w:type="spellStart"/>
      <w:r w:rsidRPr="00E15825">
        <w:rPr>
          <w:sz w:val="28"/>
          <w:szCs w:val="28"/>
          <w:lang w:val="en-US"/>
        </w:rPr>
        <w:t>intraarticular</w:t>
      </w:r>
      <w:proofErr w:type="spellEnd"/>
      <w:r w:rsidRPr="00E15825">
        <w:rPr>
          <w:sz w:val="28"/>
          <w:szCs w:val="28"/>
          <w:lang w:val="en-US"/>
        </w:rPr>
        <w:t xml:space="preserve"> glucocorticoid injections in the treatment of active peripheral arthritis in AS. The panel recommended this treatment as an option, based on evidence from other rheumatic diseases </w:t>
      </w:r>
      <w:hyperlink r:id="rId99" w:anchor="acr22708-bib-0020" w:history="1">
        <w:r w:rsidRPr="00E15825">
          <w:rPr>
            <w:rStyle w:val="a6"/>
            <w:color w:val="auto"/>
            <w:sz w:val="28"/>
            <w:szCs w:val="28"/>
            <w:u w:val="none"/>
            <w:lang w:val="en-US"/>
          </w:rPr>
          <w:t>20</w:t>
        </w:r>
      </w:hyperlink>
      <w:r w:rsidRPr="00E15825">
        <w:rPr>
          <w:sz w:val="28"/>
          <w:szCs w:val="28"/>
          <w:lang w:val="en-US"/>
        </w:rPr>
        <w:t xml:space="preserve">. This option may be considered for patients who prefer local treatment </w:t>
      </w:r>
      <w:proofErr w:type="gramStart"/>
      <w:r w:rsidRPr="00E15825">
        <w:rPr>
          <w:sz w:val="28"/>
          <w:szCs w:val="28"/>
          <w:lang w:val="en-US"/>
        </w:rPr>
        <w:t>over</w:t>
      </w:r>
      <w:proofErr w:type="gramEnd"/>
      <w:r w:rsidRPr="00E15825">
        <w:rPr>
          <w:sz w:val="28"/>
          <w:szCs w:val="28"/>
          <w:lang w:val="en-US"/>
        </w:rPr>
        <w:t xml:space="preserve"> systemic treatment, and when only 1 or 2 joints are inflamed.</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rStyle w:val="underlined"/>
          <w:sz w:val="28"/>
          <w:szCs w:val="28"/>
          <w:lang w:val="en-US"/>
        </w:rPr>
        <w:t>A2. Rehabilitation</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AS</w:t>
      </w:r>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strongly recommend treatment with physical therapy over no treatment with physical therapy (PICO 16; moderate‐quality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conditionally recommend active physical therapy interventions (supervised exercise) over passive physical therapy interventions (massage, ultrasound, heat) (PICO 17; very low‐quality evidence; vote 82%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conditionally recommend land‐based physical therapy interventions over aquatic therapy interventions (PICO 18; moderate‐quality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lastRenderedPageBreak/>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There was moderate level evidence from 2 controlled trials in support of the efficacy of physical therapy in patients with active AS (see Supplement E: Evidence Report, available on the </w:t>
      </w:r>
      <w:r w:rsidRPr="00E15825">
        <w:rPr>
          <w:i/>
          <w:iCs/>
          <w:sz w:val="28"/>
          <w:szCs w:val="28"/>
          <w:lang w:val="en-US"/>
        </w:rPr>
        <w:t>Arthritis Care &amp; Research</w:t>
      </w:r>
      <w:r w:rsidRPr="00E15825">
        <w:rPr>
          <w:sz w:val="28"/>
          <w:szCs w:val="28"/>
          <w:lang w:val="en-US"/>
        </w:rPr>
        <w:t> web site at </w:t>
      </w:r>
      <w:hyperlink r:id="rId100" w:history="1">
        <w:r w:rsidRPr="00E15825">
          <w:rPr>
            <w:rStyle w:val="a6"/>
            <w:color w:val="auto"/>
            <w:sz w:val="28"/>
            <w:szCs w:val="28"/>
            <w:u w:val="none"/>
            <w:lang w:val="en-US"/>
          </w:rPr>
          <w:t>http://onlinelibrary.wiley.com/doi/10.1002/acr.22708/abstract</w:t>
        </w:r>
      </w:hyperlink>
      <w:r w:rsidRPr="00E15825">
        <w:rPr>
          <w:sz w:val="28"/>
          <w:szCs w:val="28"/>
          <w:lang w:val="en-US"/>
        </w:rPr>
        <w:t>). Given the evidence of benefit and the very low likelihood of harms, the panel judged that a strong recommendation was justified.</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No studies were identified that compared active with passive interventions. Because one of the goals of physical therapy is to educate patients in self‐management in using an independent exercise program, the panel judged that active interventions </w:t>
      </w:r>
      <w:proofErr w:type="gramStart"/>
      <w:r w:rsidRPr="00E15825">
        <w:rPr>
          <w:sz w:val="28"/>
          <w:szCs w:val="28"/>
          <w:lang w:val="en-US"/>
        </w:rPr>
        <w:t>should be stressed</w:t>
      </w:r>
      <w:proofErr w:type="gramEnd"/>
      <w:r w:rsidRPr="00E15825">
        <w:rPr>
          <w:sz w:val="28"/>
          <w:szCs w:val="28"/>
          <w:lang w:val="en-US"/>
        </w:rPr>
        <w:t xml:space="preserve"> over passive interventions. Passive interventions could supplement, but not substitute for, active physical therapy interventions.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Four controlled trials compared aquatic and land‐based interventions in active AS, with no significant short‐term differences in changes in disease activity, pain, or stiffness between treatment groups, but some slightly better outcomes with aquatic interventions (see Supplement E: Evidence Report, available on the </w:t>
      </w:r>
      <w:r w:rsidRPr="00E15825">
        <w:rPr>
          <w:i/>
          <w:iCs/>
          <w:sz w:val="28"/>
          <w:szCs w:val="28"/>
          <w:lang w:val="en-US"/>
        </w:rPr>
        <w:t>Arthritis Care &amp; Research</w:t>
      </w:r>
      <w:r w:rsidRPr="00E15825">
        <w:rPr>
          <w:sz w:val="28"/>
          <w:szCs w:val="28"/>
          <w:lang w:val="en-US"/>
        </w:rPr>
        <w:t> web site at </w:t>
      </w:r>
      <w:hyperlink r:id="rId101"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Given the absence of strong evidence favoring aquatic interventions, the panel judged that aquatic therapy should not take precedence over land‐based therapy. While </w:t>
      </w:r>
      <w:proofErr w:type="gramStart"/>
      <w:r w:rsidRPr="00E15825">
        <w:rPr>
          <w:sz w:val="28"/>
          <w:szCs w:val="28"/>
          <w:lang w:val="en-US"/>
        </w:rPr>
        <w:t>aquatic therapy can be used by those with access to a swimming pool or hydrotherapy tub</w:t>
      </w:r>
      <w:proofErr w:type="gramEnd"/>
      <w:r w:rsidRPr="00E15825">
        <w:rPr>
          <w:sz w:val="28"/>
          <w:szCs w:val="28"/>
          <w:lang w:val="en-US"/>
        </w:rPr>
        <w:t>, land‐based therapy was conditionally preferred because access to land‐based therapy is often greater.</w:t>
      </w:r>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b/>
          <w:bCs/>
          <w:color w:val="auto"/>
          <w:sz w:val="28"/>
          <w:szCs w:val="28"/>
          <w:lang w:val="en-US"/>
        </w:rPr>
        <w:t>B. Recommendations for the treatment of patients with stable AS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rStyle w:val="underlined"/>
          <w:sz w:val="28"/>
          <w:szCs w:val="28"/>
          <w:lang w:val="en-US"/>
        </w:rPr>
        <w:t>B1. Pharmacologic treatment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stable AS, we conditionally recommend on‐demand treatment with NSAIDs over continuous treatment with NSAIDs (PICO 1;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This recommendation differs from that for patients with active AS (see Supplement E: Evidence Report, available on the </w:t>
      </w:r>
      <w:r w:rsidRPr="00E15825">
        <w:rPr>
          <w:i/>
          <w:iCs/>
          <w:sz w:val="28"/>
          <w:szCs w:val="28"/>
          <w:lang w:val="en-US"/>
        </w:rPr>
        <w:t>Arthritis Care &amp; Research</w:t>
      </w:r>
      <w:r w:rsidRPr="00E15825">
        <w:rPr>
          <w:sz w:val="28"/>
          <w:szCs w:val="28"/>
          <w:lang w:val="en-US"/>
        </w:rPr>
        <w:t xml:space="preserve"> web site </w:t>
      </w:r>
      <w:r w:rsidRPr="00E15825">
        <w:rPr>
          <w:sz w:val="28"/>
          <w:szCs w:val="28"/>
          <w:lang w:val="en-US"/>
        </w:rPr>
        <w:lastRenderedPageBreak/>
        <w:t>at </w:t>
      </w:r>
      <w:hyperlink r:id="rId102"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 panel considered that the undesirable consequences of continuous treatment with NSAIDs outweighed the desirable consequences in patients with stable AS. </w:t>
      </w:r>
      <w:proofErr w:type="gramStart"/>
      <w:r w:rsidRPr="00E15825">
        <w:rPr>
          <w:sz w:val="28"/>
          <w:szCs w:val="28"/>
          <w:lang w:val="en-US"/>
        </w:rPr>
        <w:t xml:space="preserve">Continuous NSAID treatment in clinically stable patients might be considered for those with early AS, no comorbidities, and a higher propensity to develop progressive spinal fusion (for example, men, smokers, those with persistently high serum C‐reactive protein [CRP] concentrations, and those with existing </w:t>
      </w:r>
      <w:proofErr w:type="spellStart"/>
      <w:r w:rsidRPr="00E15825">
        <w:rPr>
          <w:sz w:val="28"/>
          <w:szCs w:val="28"/>
          <w:lang w:val="en-US"/>
        </w:rPr>
        <w:t>syndesmophytes</w:t>
      </w:r>
      <w:proofErr w:type="spellEnd"/>
      <w:r w:rsidRPr="00E15825">
        <w:rPr>
          <w:sz w:val="28"/>
          <w:szCs w:val="28"/>
          <w:lang w:val="en-US"/>
        </w:rPr>
        <w:t>) </w:t>
      </w:r>
      <w:hyperlink r:id="rId103" w:anchor="acr22708-bib-0021" w:history="1">
        <w:r w:rsidRPr="00E15825">
          <w:rPr>
            <w:rStyle w:val="a6"/>
            <w:color w:val="auto"/>
            <w:sz w:val="28"/>
            <w:szCs w:val="28"/>
            <w:u w:val="none"/>
            <w:lang w:val="en-US"/>
          </w:rPr>
          <w:t>21</w:t>
        </w:r>
      </w:hyperlink>
      <w:r w:rsidRPr="00E15825">
        <w:rPr>
          <w:sz w:val="28"/>
          <w:szCs w:val="28"/>
          <w:lang w:val="en-US"/>
        </w:rPr>
        <w:t>, based on the patient's preferences for taking daily medication for possible future benefits, even if those benefits are unclear.</w:t>
      </w:r>
      <w:proofErr w:type="gramEnd"/>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stable AS receiving treatment with </w:t>
      </w:r>
      <w:proofErr w:type="spellStart"/>
      <w:r w:rsidRPr="00E15825">
        <w:rPr>
          <w:b/>
          <w:bCs/>
          <w:sz w:val="28"/>
          <w:szCs w:val="28"/>
          <w:lang w:val="en-US"/>
        </w:rPr>
        <w:t>TNFi</w:t>
      </w:r>
      <w:proofErr w:type="spellEnd"/>
      <w:r w:rsidRPr="00E15825">
        <w:rPr>
          <w:b/>
          <w:bCs/>
          <w:sz w:val="28"/>
          <w:szCs w:val="28"/>
          <w:lang w:val="en-US"/>
        </w:rPr>
        <w:t xml:space="preserve"> and NSAIDs, we conditionally recommend continuing treatment with </w:t>
      </w:r>
      <w:proofErr w:type="spellStart"/>
      <w:r w:rsidRPr="00E15825">
        <w:rPr>
          <w:b/>
          <w:bCs/>
          <w:sz w:val="28"/>
          <w:szCs w:val="28"/>
          <w:lang w:val="en-US"/>
        </w:rPr>
        <w:t>TNFi</w:t>
      </w:r>
      <w:proofErr w:type="spellEnd"/>
      <w:r w:rsidRPr="00E15825">
        <w:rPr>
          <w:b/>
          <w:bCs/>
          <w:sz w:val="28"/>
          <w:szCs w:val="28"/>
          <w:lang w:val="en-US"/>
        </w:rPr>
        <w:t xml:space="preserve"> alone compared to continuing both treatments (PICO 11; very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 xml:space="preserve">In adults with stable AS receiving treatment with </w:t>
      </w:r>
      <w:proofErr w:type="spellStart"/>
      <w:r w:rsidRPr="00E15825">
        <w:rPr>
          <w:b/>
          <w:bCs/>
          <w:sz w:val="28"/>
          <w:szCs w:val="28"/>
          <w:lang w:val="en-US"/>
        </w:rPr>
        <w:t>TNFi</w:t>
      </w:r>
      <w:proofErr w:type="spellEnd"/>
      <w:r w:rsidRPr="00E15825">
        <w:rPr>
          <w:b/>
          <w:bCs/>
          <w:sz w:val="28"/>
          <w:szCs w:val="28"/>
          <w:lang w:val="en-US"/>
        </w:rPr>
        <w:t xml:space="preserve"> and SAARDs, we conditionally recommend continuing treatment with </w:t>
      </w:r>
      <w:proofErr w:type="spellStart"/>
      <w:r w:rsidRPr="00E15825">
        <w:rPr>
          <w:b/>
          <w:bCs/>
          <w:sz w:val="28"/>
          <w:szCs w:val="28"/>
          <w:lang w:val="en-US"/>
        </w:rPr>
        <w:t>TNFi</w:t>
      </w:r>
      <w:proofErr w:type="spellEnd"/>
      <w:r w:rsidRPr="00E15825">
        <w:rPr>
          <w:b/>
          <w:bCs/>
          <w:sz w:val="28"/>
          <w:szCs w:val="28"/>
          <w:lang w:val="en-US"/>
        </w:rPr>
        <w:t xml:space="preserve"> alone over continuing both treatments (PICO 12;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The literature search did not identify any studies that addressed the effects of withdrawal of either NSAIDs or SAARDs </w:t>
      </w:r>
      <w:proofErr w:type="gramStart"/>
      <w:r w:rsidRPr="00E15825">
        <w:rPr>
          <w:sz w:val="28"/>
          <w:szCs w:val="28"/>
          <w:lang w:val="en-US"/>
        </w:rPr>
        <w:t xml:space="preserve">on the outcomes in patients with stable AS who were also receiving </w:t>
      </w:r>
      <w:proofErr w:type="spellStart"/>
      <w:r w:rsidRPr="00E15825">
        <w:rPr>
          <w:sz w:val="28"/>
          <w:szCs w:val="28"/>
          <w:lang w:val="en-US"/>
        </w:rPr>
        <w:t>TNFi</w:t>
      </w:r>
      <w:proofErr w:type="spellEnd"/>
      <w:proofErr w:type="gramEnd"/>
      <w:r w:rsidRPr="00E15825">
        <w:rPr>
          <w:sz w:val="28"/>
          <w:szCs w:val="28"/>
          <w:lang w:val="en-US"/>
        </w:rPr>
        <w:t xml:space="preserve">. We did not consider the option of withdrawing </w:t>
      </w:r>
      <w:proofErr w:type="spellStart"/>
      <w:r w:rsidRPr="00E15825">
        <w:rPr>
          <w:sz w:val="28"/>
          <w:szCs w:val="28"/>
          <w:lang w:val="en-US"/>
        </w:rPr>
        <w:t>TNFi</w:t>
      </w:r>
      <w:proofErr w:type="spellEnd"/>
      <w:r w:rsidRPr="00E15825">
        <w:rPr>
          <w:sz w:val="28"/>
          <w:szCs w:val="28"/>
          <w:lang w:val="en-US"/>
        </w:rPr>
        <w:t xml:space="preserve"> rather than NSAIDs or SAARDs, based on evidence from an observational study that suggested a high likelihood of relapse after withdrawal of </w:t>
      </w:r>
      <w:proofErr w:type="spellStart"/>
      <w:r w:rsidRPr="00E15825">
        <w:rPr>
          <w:sz w:val="28"/>
          <w:szCs w:val="28"/>
          <w:lang w:val="en-US"/>
        </w:rPr>
        <w:t>TNFi</w:t>
      </w:r>
      <w:proofErr w:type="spellEnd"/>
      <w:r w:rsidRPr="00E15825">
        <w:rPr>
          <w:sz w:val="28"/>
          <w:szCs w:val="28"/>
          <w:lang w:val="en-US"/>
        </w:rPr>
        <w:t> </w:t>
      </w:r>
      <w:hyperlink r:id="rId104" w:anchor="acr22708-bib-0022" w:history="1">
        <w:r w:rsidRPr="00E15825">
          <w:rPr>
            <w:rStyle w:val="a6"/>
            <w:color w:val="auto"/>
            <w:sz w:val="28"/>
            <w:szCs w:val="28"/>
            <w:u w:val="none"/>
            <w:lang w:val="en-US"/>
          </w:rPr>
          <w:t>22</w:t>
        </w:r>
      </w:hyperlink>
      <w:r w:rsidRPr="00E15825">
        <w:rPr>
          <w:sz w:val="28"/>
          <w:szCs w:val="28"/>
          <w:lang w:val="en-US"/>
        </w:rPr>
        <w:t xml:space="preserve">. In stable patients, a trial of withdrawing either NSAIDS or SAARDs could be </w:t>
      </w:r>
      <w:proofErr w:type="gramStart"/>
      <w:r w:rsidRPr="00E15825">
        <w:rPr>
          <w:sz w:val="28"/>
          <w:szCs w:val="28"/>
          <w:lang w:val="en-US"/>
        </w:rPr>
        <w:t>considered,</w:t>
      </w:r>
      <w:proofErr w:type="gramEnd"/>
      <w:r w:rsidRPr="00E15825">
        <w:rPr>
          <w:sz w:val="28"/>
          <w:szCs w:val="28"/>
          <w:lang w:val="en-US"/>
        </w:rPr>
        <w:t xml:space="preserve"> based on the likelihood that undesirable consequences of combined treatment may outweigh the desirable consequences. Continuing treatment with either NSAIDs or SAARDs in this setting has uncertain but likely little benefit, but entails risk of gastrointestinal, renal, cardiac, and hematologic toxicity </w:t>
      </w:r>
      <w:hyperlink r:id="rId105" w:anchor="acr22708-bib-0023" w:history="1">
        <w:r w:rsidRPr="00E15825">
          <w:rPr>
            <w:rStyle w:val="a6"/>
            <w:color w:val="auto"/>
            <w:sz w:val="28"/>
            <w:szCs w:val="28"/>
            <w:u w:val="none"/>
            <w:lang w:val="en-US"/>
          </w:rPr>
          <w:t>23</w:t>
        </w:r>
      </w:hyperlink>
      <w:r w:rsidRPr="00E15825">
        <w:rPr>
          <w:sz w:val="28"/>
          <w:szCs w:val="28"/>
          <w:lang w:val="en-US"/>
        </w:rPr>
        <w:t>, </w:t>
      </w:r>
      <w:hyperlink r:id="rId106" w:anchor="acr22708-bib-0024" w:history="1">
        <w:r w:rsidRPr="00E15825">
          <w:rPr>
            <w:rStyle w:val="a6"/>
            <w:color w:val="auto"/>
            <w:sz w:val="28"/>
            <w:szCs w:val="28"/>
            <w:u w:val="none"/>
            <w:lang w:val="en-US"/>
          </w:rPr>
          <w:t>24</w:t>
        </w:r>
      </w:hyperlink>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It is important to note that the recommendation regarding SAARDs does not apply to the question of using low‐dose methotrexate with </w:t>
      </w:r>
      <w:proofErr w:type="spellStart"/>
      <w:r w:rsidRPr="00E15825">
        <w:rPr>
          <w:sz w:val="28"/>
          <w:szCs w:val="28"/>
          <w:lang w:val="en-US"/>
        </w:rPr>
        <w:t>TNFi</w:t>
      </w:r>
      <w:proofErr w:type="spellEnd"/>
      <w:r w:rsidRPr="00E15825">
        <w:rPr>
          <w:sz w:val="28"/>
          <w:szCs w:val="28"/>
          <w:lang w:val="en-US"/>
        </w:rPr>
        <w:t xml:space="preserve"> treatment to decrease </w:t>
      </w:r>
      <w:r w:rsidRPr="00E15825">
        <w:rPr>
          <w:sz w:val="28"/>
          <w:szCs w:val="28"/>
          <w:lang w:val="en-US"/>
        </w:rPr>
        <w:lastRenderedPageBreak/>
        <w:t>the potential development of antidrug antibodies. The panel did not address this question.</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rStyle w:val="underlined"/>
          <w:sz w:val="28"/>
          <w:szCs w:val="28"/>
          <w:lang w:val="en-US"/>
        </w:rPr>
        <w:t>B2. Rehabilitation</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stable AS, we strongly recommend treatment with physical therapy over no treatment with physical therapy (PICO 19; low‐quality evidence; vote 82%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The use of physical therapy in patients with stable AS was examined in 8 controlled trials, with improvement in disease activity and physical functioning but no significant improvement in pain or stiffness (see Supplement E: Evidence Report, available on the </w:t>
      </w:r>
      <w:r w:rsidRPr="00E15825">
        <w:rPr>
          <w:i/>
          <w:iCs/>
          <w:sz w:val="28"/>
          <w:szCs w:val="28"/>
          <w:lang w:val="en-US"/>
        </w:rPr>
        <w:t>Arthritis Care &amp; Research</w:t>
      </w:r>
      <w:r w:rsidRPr="00E15825">
        <w:rPr>
          <w:sz w:val="28"/>
          <w:szCs w:val="28"/>
          <w:lang w:val="en-US"/>
        </w:rPr>
        <w:t> web site at </w:t>
      </w:r>
      <w:hyperlink r:id="rId107" w:history="1">
        <w:r w:rsidRPr="00E15825">
          <w:rPr>
            <w:rStyle w:val="a6"/>
            <w:color w:val="auto"/>
            <w:sz w:val="28"/>
            <w:szCs w:val="28"/>
            <w:u w:val="none"/>
            <w:lang w:val="en-US"/>
          </w:rPr>
          <w:t>http://onlinelibrary.wiley.com/doi/10.1002/acr.22708/abstract</w:t>
        </w:r>
      </w:hyperlink>
      <w:r w:rsidRPr="00E15825">
        <w:rPr>
          <w:sz w:val="28"/>
          <w:szCs w:val="28"/>
          <w:lang w:val="en-US"/>
        </w:rPr>
        <w:t xml:space="preserve">). The overall level of evidence </w:t>
      </w:r>
      <w:proofErr w:type="gramStart"/>
      <w:r w:rsidRPr="00E15825">
        <w:rPr>
          <w:sz w:val="28"/>
          <w:szCs w:val="28"/>
          <w:lang w:val="en-US"/>
        </w:rPr>
        <w:t>was rated</w:t>
      </w:r>
      <w:proofErr w:type="gramEnd"/>
      <w:r w:rsidRPr="00E15825">
        <w:rPr>
          <w:sz w:val="28"/>
          <w:szCs w:val="28"/>
          <w:lang w:val="en-US"/>
        </w:rPr>
        <w:t xml:space="preserve"> as low based on risk of bias and heterogeneous results across studies. Given the evidence of benefit and low likelihood of harms, the panel judged that a strong recommendation was justified. Physical therapy in stable patients was most important for periodic reassessment and appropriate modifications of home exercises.</w:t>
      </w:r>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b/>
          <w:bCs/>
          <w:color w:val="auto"/>
          <w:sz w:val="28"/>
          <w:szCs w:val="28"/>
          <w:lang w:val="en-US"/>
        </w:rPr>
        <w:t>C. Recommendations for the treatment of patients with either active or stable AS</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or stable AS</w:t>
      </w:r>
      <w:r w:rsidRPr="00E15825">
        <w:rPr>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conditionally recommend the regular‐interval use and monitoring of a validated AS disease activity measure (PICO 54; very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We conditionally recommend regular‐interval use and monitoring of the CRP concentrations or erythrocyte sedimentation rate (ESR) over usual care without regular CRP or ESR monitoring (PICO 55;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sz w:val="28"/>
          <w:szCs w:val="28"/>
          <w:lang w:val="en-US"/>
        </w:rPr>
        <w:t xml:space="preserve">No studies addressed the effect of routine monitoring of a disease activity measure, such as the Bath AS Disease Activity Index or the AS Disease Activity </w:t>
      </w:r>
      <w:r w:rsidRPr="00E15825">
        <w:rPr>
          <w:sz w:val="28"/>
          <w:szCs w:val="28"/>
          <w:lang w:val="en-US"/>
        </w:rPr>
        <w:lastRenderedPageBreak/>
        <w:t xml:space="preserve">Score, or acute‐phase reactants on outcomes in patients with AS. The panel thought that monitoring would be most helpful in patients with active symptoms as a guide to treatment. Monitoring </w:t>
      </w:r>
      <w:proofErr w:type="gramStart"/>
      <w:r w:rsidRPr="00E15825">
        <w:rPr>
          <w:sz w:val="28"/>
          <w:szCs w:val="28"/>
          <w:lang w:val="en-US"/>
        </w:rPr>
        <w:t>was not thought</w:t>
      </w:r>
      <w:proofErr w:type="gramEnd"/>
      <w:r w:rsidRPr="00E15825">
        <w:rPr>
          <w:sz w:val="28"/>
          <w:szCs w:val="28"/>
          <w:lang w:val="en-US"/>
        </w:rPr>
        <w:t xml:space="preserve"> necessary at every clinic visit, and could be omitted in patients who were clinically stable for some time.</w:t>
      </w:r>
    </w:p>
    <w:p w:rsidR="00E95DFF" w:rsidRPr="00E15825" w:rsidRDefault="00E95DFF" w:rsidP="00E15825">
      <w:pPr>
        <w:pStyle w:val="a5"/>
        <w:shd w:val="clear" w:color="auto" w:fill="FFFFFF"/>
        <w:spacing w:before="0" w:beforeAutospacing="0" w:after="0" w:afterAutospacing="0" w:line="360" w:lineRule="auto"/>
        <w:ind w:firstLine="709"/>
        <w:rPr>
          <w:sz w:val="28"/>
          <w:szCs w:val="28"/>
          <w:lang w:val="en-US"/>
        </w:rPr>
      </w:pPr>
      <w:r w:rsidRPr="00E15825">
        <w:rPr>
          <w:b/>
          <w:bCs/>
          <w:sz w:val="28"/>
          <w:szCs w:val="28"/>
          <w:lang w:val="en-US"/>
        </w:rPr>
        <w:t>In adults with active or stable AS, we conditionally recommend advising unsupervised back exercises (PICO 20; moderate‐quality evidence; vote 91%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auto"/>
          <w:sz w:val="28"/>
          <w:szCs w:val="28"/>
          <w:lang w:val="en-US"/>
        </w:rPr>
      </w:pPr>
      <w:r w:rsidRPr="00E15825">
        <w:rPr>
          <w:rFonts w:ascii="Times New Roman" w:hAnsi="Times New Roman" w:cs="Times New Roman"/>
          <w:color w:val="auto"/>
          <w:sz w:val="28"/>
          <w:szCs w:val="28"/>
          <w:lang w:val="en-US"/>
        </w:rPr>
        <w:t>Evidence and rationale</w:t>
      </w:r>
    </w:p>
    <w:p w:rsid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sz w:val="28"/>
          <w:szCs w:val="28"/>
          <w:lang w:val="en-US"/>
        </w:rPr>
        <w:t xml:space="preserve">Unsupervised back exercise refers to exercises done by patients at home without prior training by a therapist. This could include recommendations by physicians or in educational pamphlets or videos. This intervention was </w:t>
      </w:r>
      <w:r w:rsidRPr="00E15825">
        <w:rPr>
          <w:color w:val="1C1D1E"/>
          <w:sz w:val="28"/>
          <w:szCs w:val="28"/>
          <w:lang w:val="en-US"/>
        </w:rPr>
        <w:t xml:space="preserve">examined in one controlled trial, which showed no benefit in health status or functional status favoring the intervention, although with serious risk of </w:t>
      </w:r>
      <w:proofErr w:type="gramStart"/>
      <w:r w:rsidRPr="00E15825">
        <w:rPr>
          <w:color w:val="1C1D1E"/>
          <w:sz w:val="28"/>
          <w:szCs w:val="28"/>
          <w:lang w:val="en-US"/>
        </w:rPr>
        <w:t xml:space="preserve">bias </w:t>
      </w:r>
      <w:r w:rsidR="00E15825">
        <w:rPr>
          <w:color w:val="1C1D1E"/>
          <w:sz w:val="28"/>
          <w:szCs w:val="28"/>
          <w:lang w:val="en-US"/>
        </w:rPr>
        <w:t>.</w:t>
      </w:r>
      <w:proofErr w:type="gramEnd"/>
      <w:r w:rsidR="00E15825">
        <w:rPr>
          <w:color w:val="1C1D1E"/>
          <w:sz w:val="28"/>
          <w:szCs w:val="28"/>
          <w:lang w:val="en-US"/>
        </w:rPr>
        <w:t xml:space="preserve"> </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The panel recommended unsupervised back exercise as part of a general endorsement of physical activity, given that desirable consequences were likely to outweigh undesirable consequences. The recommendation is conditional in that unsupervised back exercises should not substitute for initial instruction in back exercises by a physical therapist.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active or stable AS and spinal fusion or advanced spinal osteoporosis, we strongly recommend against treatment with spinal manipulation (PICO 21;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We did not identify any studies of the effects of spinal manipulation with high‐velocity thrusts on outcomes in patients with AS. Several case reports of spine fractures, spinal cord injury, and paraplegia following chiropractic spinal manipulation, particularly of the cervical spine in patients with spinal fusion or advanced osteoporosis of the spine, have been reported </w:t>
      </w:r>
      <w:hyperlink r:id="rId108" w:anchor="acr22708-bib-0025" w:history="1">
        <w:r w:rsidRPr="00E15825">
          <w:rPr>
            <w:rStyle w:val="a6"/>
            <w:color w:val="005293"/>
            <w:sz w:val="28"/>
            <w:szCs w:val="28"/>
            <w:lang w:val="en-US"/>
          </w:rPr>
          <w:t>25</w:t>
        </w:r>
      </w:hyperlink>
      <w:r w:rsidRPr="00E15825">
        <w:rPr>
          <w:color w:val="1C1D1E"/>
          <w:sz w:val="28"/>
          <w:szCs w:val="28"/>
          <w:lang w:val="en-US"/>
        </w:rPr>
        <w:t xml:space="preserve">. Based on the absence of evidence of benefit and evidence of potential severe harms, the panel recommended strongly </w:t>
      </w:r>
      <w:proofErr w:type="gramStart"/>
      <w:r w:rsidRPr="00E15825">
        <w:rPr>
          <w:color w:val="1C1D1E"/>
          <w:sz w:val="28"/>
          <w:szCs w:val="28"/>
          <w:lang w:val="en-US"/>
        </w:rPr>
        <w:t>against spinal manipulation with high‐velocity thrusts in patients with AS who have spinal fusion or advanced spinal osteoporosis</w:t>
      </w:r>
      <w:proofErr w:type="gramEnd"/>
      <w:r w:rsidRPr="00E15825">
        <w:rPr>
          <w:color w:val="1C1D1E"/>
          <w:sz w:val="28"/>
          <w:szCs w:val="28"/>
          <w:lang w:val="en-US"/>
        </w:rPr>
        <w:t>.</w:t>
      </w:r>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b/>
          <w:bCs/>
          <w:color w:val="1F1F1F"/>
          <w:sz w:val="28"/>
          <w:szCs w:val="28"/>
          <w:lang w:val="en-US"/>
        </w:rPr>
        <w:lastRenderedPageBreak/>
        <w:t>D. Recommendations for the treatment of patients with AS and specific impairments or comorbidities</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and advanced hip arthritis, we strongly recommend treatment with total hip arthroplasty over no surgery (PICO 25;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Evidence for the effectiveness of total hip arthroplasty in patients with AS included observational studies and case series which demonstrated postoperative improvements in pain, functioning, and hip range of motion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09"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Weak study designs resulted in the overall quality of evidence </w:t>
      </w:r>
      <w:proofErr w:type="gramStart"/>
      <w:r w:rsidRPr="00E15825">
        <w:rPr>
          <w:color w:val="1C1D1E"/>
          <w:sz w:val="28"/>
          <w:szCs w:val="28"/>
          <w:lang w:val="en-US"/>
        </w:rPr>
        <w:t>being rated</w:t>
      </w:r>
      <w:proofErr w:type="gramEnd"/>
      <w:r w:rsidRPr="00E15825">
        <w:rPr>
          <w:color w:val="1C1D1E"/>
          <w:sz w:val="28"/>
          <w:szCs w:val="28"/>
          <w:lang w:val="en-US"/>
        </w:rPr>
        <w:t xml:space="preserve"> very low, although this question can practicably be addressed only in observational studies. Arthroplasty is the best treatment option for patients with advanced hip arthritis and severe hip pain, who often would otherwise experience progressive limitations in mobility and reliance on opiates. The panel judged that a strong recommendation for surgery was justified for all patients with hip arthritis that was substantially </w:t>
      </w:r>
      <w:proofErr w:type="gramStart"/>
      <w:r w:rsidRPr="00E15825">
        <w:rPr>
          <w:color w:val="1C1D1E"/>
          <w:sz w:val="28"/>
          <w:szCs w:val="28"/>
          <w:lang w:val="en-US"/>
        </w:rPr>
        <w:t>impacting</w:t>
      </w:r>
      <w:proofErr w:type="gramEnd"/>
      <w:r w:rsidRPr="00E15825">
        <w:rPr>
          <w:color w:val="1C1D1E"/>
          <w:sz w:val="28"/>
          <w:szCs w:val="28"/>
          <w:lang w:val="en-US"/>
        </w:rPr>
        <w:t xml:space="preserve"> their mobility or quality of life. An exception is among patients in whom surgery </w:t>
      </w:r>
      <w:proofErr w:type="gramStart"/>
      <w:r w:rsidRPr="00E15825">
        <w:rPr>
          <w:color w:val="1C1D1E"/>
          <w:sz w:val="28"/>
          <w:szCs w:val="28"/>
          <w:lang w:val="en-US"/>
        </w:rPr>
        <w:t>is contraindicated</w:t>
      </w:r>
      <w:proofErr w:type="gramEnd"/>
      <w:r w:rsidRPr="00E15825">
        <w:rPr>
          <w:color w:val="1C1D1E"/>
          <w:sz w:val="28"/>
          <w:szCs w:val="28"/>
          <w:lang w:val="en-US"/>
        </w:rPr>
        <w:t xml:space="preserve"> by comorbid conditions. The surgery should be performed by orthopedic surgeons and at hospitals that are highly experienced in joint replacement in patients with AS.</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and severe kyphosis, we conditionally recommend against elective spinal osteotomy (PICO 26;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Evidence for the effectiveness of spinal osteotomy in patients with AS and severe kyphosis is from case series, which most commonly only reported restoration of horizontal gaze or degrees of correction as outcomes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10"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Perioperative mortality of 4% and permanent neurologic sequelae of 5% </w:t>
      </w:r>
      <w:proofErr w:type="gramStart"/>
      <w:r w:rsidRPr="00E15825">
        <w:rPr>
          <w:color w:val="1C1D1E"/>
          <w:sz w:val="28"/>
          <w:szCs w:val="28"/>
          <w:lang w:val="en-US"/>
        </w:rPr>
        <w:t>were noted</w:t>
      </w:r>
      <w:proofErr w:type="gramEnd"/>
      <w:r w:rsidRPr="00E15825">
        <w:rPr>
          <w:color w:val="1C1D1E"/>
          <w:sz w:val="28"/>
          <w:szCs w:val="28"/>
          <w:lang w:val="en-US"/>
        </w:rPr>
        <w:t xml:space="preserve">. Given the high </w:t>
      </w:r>
      <w:r w:rsidRPr="00E15825">
        <w:rPr>
          <w:color w:val="1C1D1E"/>
          <w:sz w:val="28"/>
          <w:szCs w:val="28"/>
          <w:lang w:val="en-US"/>
        </w:rPr>
        <w:lastRenderedPageBreak/>
        <w:t xml:space="preserve">procedure‐associated risks and the potential for large benefits with respect to physical functioning, cardiopulmonary functioning, and psychological well‐being, decisions about surgery clearly require extensive discussion and consideration of the risks, benefits, and preferences of individual patients. The panel thought that in most patients the risks would outweigh the potential benefits. However, elective spinal osteotomy </w:t>
      </w:r>
      <w:proofErr w:type="gramStart"/>
      <w:r w:rsidRPr="00E15825">
        <w:rPr>
          <w:color w:val="1C1D1E"/>
          <w:sz w:val="28"/>
          <w:szCs w:val="28"/>
          <w:lang w:val="en-US"/>
        </w:rPr>
        <w:t>could be considered</w:t>
      </w:r>
      <w:proofErr w:type="gramEnd"/>
      <w:r w:rsidRPr="00E15825">
        <w:rPr>
          <w:color w:val="1C1D1E"/>
          <w:sz w:val="28"/>
          <w:szCs w:val="28"/>
          <w:lang w:val="en-US"/>
        </w:rPr>
        <w:t xml:space="preserve"> in those patients with severe kyphosis who lack horizontal vision and for whom this causes major physical and psychological impairments. In this highly selected subgroup, surgery </w:t>
      </w:r>
      <w:proofErr w:type="gramStart"/>
      <w:r w:rsidRPr="00E15825">
        <w:rPr>
          <w:color w:val="1C1D1E"/>
          <w:sz w:val="28"/>
          <w:szCs w:val="28"/>
          <w:lang w:val="en-US"/>
        </w:rPr>
        <w:t>could be recommended</w:t>
      </w:r>
      <w:proofErr w:type="gramEnd"/>
      <w:r w:rsidRPr="00E15825">
        <w:rPr>
          <w:color w:val="1C1D1E"/>
          <w:sz w:val="28"/>
          <w:szCs w:val="28"/>
          <w:lang w:val="en-US"/>
        </w:rPr>
        <w:t xml:space="preserve"> if the procedure is performed at specialized centers by surgeons with extensive experience in the technique. This recommendation does not apply to </w:t>
      </w:r>
      <w:proofErr w:type="spellStart"/>
      <w:r w:rsidRPr="00E15825">
        <w:rPr>
          <w:color w:val="1C1D1E"/>
          <w:sz w:val="28"/>
          <w:szCs w:val="28"/>
          <w:lang w:val="en-US"/>
        </w:rPr>
        <w:t>nonelective</w:t>
      </w:r>
      <w:proofErr w:type="spellEnd"/>
      <w:r w:rsidRPr="00E15825">
        <w:rPr>
          <w:color w:val="1C1D1E"/>
          <w:sz w:val="28"/>
          <w:szCs w:val="28"/>
          <w:lang w:val="en-US"/>
        </w:rPr>
        <w:t xml:space="preserve"> surgery, including stabilization of spinal fractures or </w:t>
      </w:r>
      <w:proofErr w:type="spellStart"/>
      <w:r w:rsidRPr="00E15825">
        <w:rPr>
          <w:color w:val="1C1D1E"/>
          <w:sz w:val="28"/>
          <w:szCs w:val="28"/>
          <w:lang w:val="en-US"/>
        </w:rPr>
        <w:t>pseudoarthroses</w:t>
      </w:r>
      <w:proofErr w:type="spellEnd"/>
      <w:r w:rsidRPr="00E15825">
        <w:rPr>
          <w:color w:val="1C1D1E"/>
          <w:sz w:val="28"/>
          <w:szCs w:val="28"/>
          <w:lang w:val="en-US"/>
        </w:rPr>
        <w:t>, and relief of spinal cord or nerve root compression.</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and acute iritis, we strongly recommend treatment by an ophthalmologist to decrease the severity, duration, or complications of episodes (PICO 27;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proofErr w:type="gramStart"/>
      <w:r w:rsidRPr="00E15825">
        <w:rPr>
          <w:color w:val="1C1D1E"/>
          <w:sz w:val="28"/>
          <w:szCs w:val="28"/>
          <w:lang w:val="en-US"/>
        </w:rPr>
        <w:t xml:space="preserve">No studies were identified that examined the relative effectiveness of treatment of iritis by specialists or </w:t>
      </w:r>
      <w:proofErr w:type="spellStart"/>
      <w:r w:rsidRPr="00E15825">
        <w:rPr>
          <w:color w:val="1C1D1E"/>
          <w:sz w:val="28"/>
          <w:szCs w:val="28"/>
          <w:lang w:val="en-US"/>
        </w:rPr>
        <w:t>nonspecialists</w:t>
      </w:r>
      <w:proofErr w:type="spellEnd"/>
      <w:proofErr w:type="gramEnd"/>
      <w:r w:rsidRPr="00E15825">
        <w:rPr>
          <w:color w:val="1C1D1E"/>
          <w:sz w:val="28"/>
          <w:szCs w:val="28"/>
          <w:lang w:val="en-US"/>
        </w:rPr>
        <w:t>. However, given the expertise of ophthalmologists in diagnosing iritis, evaluating the severity of episodes, and selecting the best local treatments, the panel strongly recommended treatment by an ophthalmologist.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and recurrent iritis, we conditionally recommend prescription over no prescription of topical glucocorticoids for prompt at‐home use in the event of eye symptoms to decrease the severity or duration of iritis episodes (PICO 28; very low‐quality evidence; vote 91%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No studies examined the effectiveness of patient‐initiated at‐home treatment with topical glucocorticoids at the onset of symptoms of iritis compared to physician‐directed treatment. Prompt treatment may lessen the severity of episodes and decrease the likelihood of ocular complications </w:t>
      </w:r>
      <w:hyperlink r:id="rId111" w:anchor="acr22708-bib-0026" w:history="1">
        <w:r w:rsidRPr="00E15825">
          <w:rPr>
            <w:rStyle w:val="a6"/>
            <w:color w:val="005293"/>
            <w:sz w:val="28"/>
            <w:szCs w:val="28"/>
            <w:lang w:val="en-US"/>
          </w:rPr>
          <w:t>26</w:t>
        </w:r>
      </w:hyperlink>
      <w:r w:rsidRPr="00E15825">
        <w:rPr>
          <w:color w:val="1C1D1E"/>
          <w:sz w:val="28"/>
          <w:szCs w:val="28"/>
          <w:lang w:val="en-US"/>
        </w:rPr>
        <w:t xml:space="preserve">. Therefore, the committee favored provision </w:t>
      </w:r>
      <w:r w:rsidRPr="00E15825">
        <w:rPr>
          <w:color w:val="1C1D1E"/>
          <w:sz w:val="28"/>
          <w:szCs w:val="28"/>
          <w:lang w:val="en-US"/>
        </w:rPr>
        <w:lastRenderedPageBreak/>
        <w:t xml:space="preserve">of prescriptions of topical glucocorticoids so that patients could initiate treatment at the onset of typical symptoms of iritis. However, this should be restricted to patients with recurrent episodes who are knowledgeable about the symptoms of iritis. Prescription of topical glucocorticoids for at‐home use </w:t>
      </w:r>
      <w:proofErr w:type="gramStart"/>
      <w:r w:rsidRPr="00E15825">
        <w:rPr>
          <w:color w:val="1C1D1E"/>
          <w:sz w:val="28"/>
          <w:szCs w:val="28"/>
          <w:lang w:val="en-US"/>
        </w:rPr>
        <w:t>should be done</w:t>
      </w:r>
      <w:proofErr w:type="gramEnd"/>
      <w:r w:rsidRPr="00E15825">
        <w:rPr>
          <w:color w:val="1C1D1E"/>
          <w:sz w:val="28"/>
          <w:szCs w:val="28"/>
          <w:lang w:val="en-US"/>
        </w:rPr>
        <w:t xml:space="preserve"> in the context of a care plan that includes a prompt ophthalmologic examination.</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 xml:space="preserve">In adults with AS and recurrent iritis, we conditionally recommend treatment with infliximab or </w:t>
      </w:r>
      <w:proofErr w:type="spellStart"/>
      <w:r w:rsidRPr="00E15825">
        <w:rPr>
          <w:b/>
          <w:bCs/>
          <w:color w:val="1C1D1E"/>
          <w:sz w:val="28"/>
          <w:szCs w:val="28"/>
          <w:lang w:val="en-US"/>
        </w:rPr>
        <w:t>adalimumab</w:t>
      </w:r>
      <w:proofErr w:type="spellEnd"/>
      <w:r w:rsidRPr="00E15825">
        <w:rPr>
          <w:b/>
          <w:bCs/>
          <w:color w:val="1C1D1E"/>
          <w:sz w:val="28"/>
          <w:szCs w:val="28"/>
          <w:lang w:val="en-US"/>
        </w:rPr>
        <w:t xml:space="preserve"> over treatment with </w:t>
      </w:r>
      <w:proofErr w:type="spellStart"/>
      <w:r w:rsidRPr="00E15825">
        <w:rPr>
          <w:b/>
          <w:bCs/>
          <w:color w:val="1C1D1E"/>
          <w:sz w:val="28"/>
          <w:szCs w:val="28"/>
          <w:lang w:val="en-US"/>
        </w:rPr>
        <w:t>etanercept</w:t>
      </w:r>
      <w:proofErr w:type="spellEnd"/>
      <w:r w:rsidRPr="00E15825">
        <w:rPr>
          <w:b/>
          <w:bCs/>
          <w:color w:val="1C1D1E"/>
          <w:sz w:val="28"/>
          <w:szCs w:val="28"/>
          <w:lang w:val="en-US"/>
        </w:rPr>
        <w:t xml:space="preserve"> to decrease recurrences of iritis (PICO 29 and 30; very low‐quality evidence; vote 82%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In 4 observational studies or pooled analyses of clinical trial results, treatment with infliximab or </w:t>
      </w:r>
      <w:proofErr w:type="spellStart"/>
      <w:r w:rsidRPr="00E15825">
        <w:rPr>
          <w:color w:val="1C1D1E"/>
          <w:sz w:val="28"/>
          <w:szCs w:val="28"/>
          <w:lang w:val="en-US"/>
        </w:rPr>
        <w:t>adalimumab</w:t>
      </w:r>
      <w:proofErr w:type="spellEnd"/>
      <w:r w:rsidRPr="00E15825">
        <w:rPr>
          <w:color w:val="1C1D1E"/>
          <w:sz w:val="28"/>
          <w:szCs w:val="28"/>
          <w:lang w:val="en-US"/>
        </w:rPr>
        <w:t xml:space="preserve"> was associated with lower rates of iritis than was treatment with </w:t>
      </w:r>
      <w:proofErr w:type="spellStart"/>
      <w:r w:rsidRPr="00E15825">
        <w:rPr>
          <w:color w:val="1C1D1E"/>
          <w:sz w:val="28"/>
          <w:szCs w:val="28"/>
          <w:lang w:val="en-US"/>
        </w:rPr>
        <w:t>etanercept</w:t>
      </w:r>
      <w:proofErr w:type="spellEnd"/>
      <w:r w:rsidRPr="00E15825">
        <w:rPr>
          <w:color w:val="1C1D1E"/>
          <w:sz w:val="28"/>
          <w:szCs w:val="28"/>
          <w:lang w:val="en-US"/>
        </w:rPr>
        <w:t xml:space="preserve"> (see Supplement E: Evidence Report, available on the </w:t>
      </w:r>
      <w:r w:rsidRPr="00E15825">
        <w:rPr>
          <w:i/>
          <w:iCs/>
          <w:color w:val="1C1D1E"/>
          <w:sz w:val="28"/>
          <w:szCs w:val="28"/>
          <w:lang w:val="en-US"/>
        </w:rPr>
        <w:t xml:space="preserve">Arthritis Care &amp; </w:t>
      </w:r>
      <w:proofErr w:type="spellStart"/>
      <w:r w:rsidRPr="00E15825">
        <w:rPr>
          <w:i/>
          <w:iCs/>
          <w:color w:val="1C1D1E"/>
          <w:sz w:val="28"/>
          <w:szCs w:val="28"/>
          <w:lang w:val="en-US"/>
        </w:rPr>
        <w:t>Research</w:t>
      </w:r>
      <w:r w:rsidRPr="00E15825">
        <w:rPr>
          <w:color w:val="1C1D1E"/>
          <w:sz w:val="28"/>
          <w:szCs w:val="28"/>
          <w:lang w:val="en-US"/>
        </w:rPr>
        <w:t>web</w:t>
      </w:r>
      <w:proofErr w:type="spellEnd"/>
      <w:r w:rsidRPr="00E15825">
        <w:rPr>
          <w:color w:val="1C1D1E"/>
          <w:sz w:val="28"/>
          <w:szCs w:val="28"/>
          <w:lang w:val="en-US"/>
        </w:rPr>
        <w:t xml:space="preserve"> site at </w:t>
      </w:r>
      <w:hyperlink r:id="rId112"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Data on </w:t>
      </w:r>
      <w:proofErr w:type="spellStart"/>
      <w:r w:rsidRPr="00E15825">
        <w:rPr>
          <w:color w:val="1C1D1E"/>
          <w:sz w:val="28"/>
          <w:szCs w:val="28"/>
          <w:lang w:val="en-US"/>
        </w:rPr>
        <w:t>adalimumab</w:t>
      </w:r>
      <w:proofErr w:type="spellEnd"/>
      <w:r w:rsidRPr="00E15825">
        <w:rPr>
          <w:color w:val="1C1D1E"/>
          <w:sz w:val="28"/>
          <w:szCs w:val="28"/>
          <w:lang w:val="en-US"/>
        </w:rPr>
        <w:t xml:space="preserve"> were less extensive than data on infliximab. With some evidence of differential effectiveness through indirect comparisons and no evidence of increased harms, the panel recommended infliximab or </w:t>
      </w:r>
      <w:proofErr w:type="spellStart"/>
      <w:r w:rsidRPr="00E15825">
        <w:rPr>
          <w:color w:val="1C1D1E"/>
          <w:sz w:val="28"/>
          <w:szCs w:val="28"/>
          <w:lang w:val="en-US"/>
        </w:rPr>
        <w:t>adalimumab</w:t>
      </w:r>
      <w:proofErr w:type="spellEnd"/>
      <w:r w:rsidRPr="00E15825">
        <w:rPr>
          <w:color w:val="1C1D1E"/>
          <w:sz w:val="28"/>
          <w:szCs w:val="28"/>
          <w:lang w:val="en-US"/>
        </w:rPr>
        <w:t xml:space="preserve"> over </w:t>
      </w:r>
      <w:proofErr w:type="spellStart"/>
      <w:r w:rsidRPr="00E15825">
        <w:rPr>
          <w:color w:val="1C1D1E"/>
          <w:sz w:val="28"/>
          <w:szCs w:val="28"/>
          <w:lang w:val="en-US"/>
        </w:rPr>
        <w:t>etanercept</w:t>
      </w:r>
      <w:proofErr w:type="spellEnd"/>
      <w:r w:rsidRPr="00E15825">
        <w:rPr>
          <w:color w:val="1C1D1E"/>
          <w:sz w:val="28"/>
          <w:szCs w:val="28"/>
          <w:lang w:val="en-US"/>
        </w:rPr>
        <w:t xml:space="preserve"> for patients with frequently recurrent iritis episodes.</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The panel decided to delete the question (PICO 30) that addressed switching </w:t>
      </w:r>
      <w:proofErr w:type="spellStart"/>
      <w:r w:rsidRPr="00E15825">
        <w:rPr>
          <w:color w:val="1C1D1E"/>
          <w:sz w:val="28"/>
          <w:szCs w:val="28"/>
          <w:lang w:val="en-US"/>
        </w:rPr>
        <w:t>TNFi</w:t>
      </w:r>
      <w:proofErr w:type="spellEnd"/>
      <w:r w:rsidRPr="00E15825">
        <w:rPr>
          <w:color w:val="1C1D1E"/>
          <w:sz w:val="28"/>
          <w:szCs w:val="28"/>
          <w:lang w:val="en-US"/>
        </w:rPr>
        <w:t xml:space="preserve"> in patients who develop iritis while receiving treatment, since the important decision is the specific </w:t>
      </w:r>
      <w:proofErr w:type="spellStart"/>
      <w:r w:rsidRPr="00E15825">
        <w:rPr>
          <w:color w:val="1C1D1E"/>
          <w:sz w:val="28"/>
          <w:szCs w:val="28"/>
          <w:lang w:val="en-US"/>
        </w:rPr>
        <w:t>TNFi</w:t>
      </w:r>
      <w:proofErr w:type="spellEnd"/>
      <w:r w:rsidRPr="00E15825">
        <w:rPr>
          <w:color w:val="1C1D1E"/>
          <w:sz w:val="28"/>
          <w:szCs w:val="28"/>
          <w:lang w:val="en-US"/>
        </w:rPr>
        <w:t xml:space="preserve"> to </w:t>
      </w:r>
      <w:proofErr w:type="gramStart"/>
      <w:r w:rsidRPr="00E15825">
        <w:rPr>
          <w:color w:val="1C1D1E"/>
          <w:sz w:val="28"/>
          <w:szCs w:val="28"/>
          <w:lang w:val="en-US"/>
        </w:rPr>
        <w:t>be used</w:t>
      </w:r>
      <w:proofErr w:type="gramEnd"/>
      <w:r w:rsidRPr="00E15825">
        <w:rPr>
          <w:color w:val="1C1D1E"/>
          <w:sz w:val="28"/>
          <w:szCs w:val="28"/>
          <w:lang w:val="en-US"/>
        </w:rPr>
        <w:t>, which is addressed in PICO 29.</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and inflammatory bowel disease</w:t>
      </w:r>
      <w:r w:rsidRPr="00E15825">
        <w:rPr>
          <w:color w:val="1C1D1E"/>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We do not recommend any particular NSAID as the preferred choice to decrease the risk of worsening of inflammatory bowel disease symptoms (PICO 31; very low‐quality evidence, conditional recommendation; vote 100% agreement).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 xml:space="preserve">We strongly recommend using treatment with </w:t>
      </w:r>
      <w:proofErr w:type="spellStart"/>
      <w:r w:rsidRPr="00E15825">
        <w:rPr>
          <w:b/>
          <w:bCs/>
          <w:color w:val="1C1D1E"/>
          <w:sz w:val="28"/>
          <w:szCs w:val="28"/>
          <w:lang w:val="en-US"/>
        </w:rPr>
        <w:t>TNFi</w:t>
      </w:r>
      <w:proofErr w:type="spellEnd"/>
      <w:r w:rsidRPr="00E15825">
        <w:rPr>
          <w:b/>
          <w:bCs/>
          <w:color w:val="1C1D1E"/>
          <w:sz w:val="28"/>
          <w:szCs w:val="28"/>
          <w:lang w:val="en-US"/>
        </w:rPr>
        <w:t xml:space="preserve"> monoclonal antibodies over treatment with </w:t>
      </w:r>
      <w:proofErr w:type="spellStart"/>
      <w:r w:rsidRPr="00E15825">
        <w:rPr>
          <w:b/>
          <w:bCs/>
          <w:color w:val="1C1D1E"/>
          <w:sz w:val="28"/>
          <w:szCs w:val="28"/>
          <w:lang w:val="en-US"/>
        </w:rPr>
        <w:t>etanercept</w:t>
      </w:r>
      <w:proofErr w:type="spellEnd"/>
      <w:r w:rsidRPr="00E15825">
        <w:rPr>
          <w:b/>
          <w:bCs/>
          <w:color w:val="1C1D1E"/>
          <w:sz w:val="28"/>
          <w:szCs w:val="28"/>
          <w:lang w:val="en-US"/>
        </w:rPr>
        <w:t xml:space="preserve"> (PICO 32;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lastRenderedPageBreak/>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We did not identify any studies of the relative harms of different NSAIDs in patients with AS and inflammatory bowel disease. Evidence of whether treatment with conventional NSAIDs is associated with intestinal relapses in patients with inflammatory bowel disease (without AS) is limited and controversial. While case reports suggest that conventional NSAID treatment can lead to relapses (or onset of inflammatory bowel disease), epidemiologic studies do not support an association </w:t>
      </w:r>
      <w:hyperlink r:id="rId113" w:anchor="acr22708-bib-0027" w:history="1">
        <w:r w:rsidRPr="00E15825">
          <w:rPr>
            <w:rStyle w:val="a6"/>
            <w:color w:val="005293"/>
            <w:sz w:val="28"/>
            <w:szCs w:val="28"/>
            <w:lang w:val="en-US"/>
          </w:rPr>
          <w:t>27</w:t>
        </w:r>
      </w:hyperlink>
      <w:r w:rsidRPr="00E15825">
        <w:rPr>
          <w:color w:val="1C1D1E"/>
          <w:sz w:val="28"/>
          <w:szCs w:val="28"/>
          <w:lang w:val="en-US"/>
        </w:rPr>
        <w:t>. Rates of exacerbations of inflammatory bowel disease among patients treated with celecoxib were not significantly different from rates among those treated with placebo in a 2‐week trial </w:t>
      </w:r>
      <w:hyperlink r:id="rId114" w:anchor="acr22708-bib-0028" w:history="1">
        <w:r w:rsidRPr="00E15825">
          <w:rPr>
            <w:rStyle w:val="a6"/>
            <w:color w:val="005293"/>
            <w:sz w:val="28"/>
            <w:szCs w:val="28"/>
            <w:lang w:val="en-US"/>
          </w:rPr>
          <w:t>28</w:t>
        </w:r>
      </w:hyperlink>
      <w:r w:rsidRPr="00E15825">
        <w:rPr>
          <w:color w:val="1C1D1E"/>
          <w:sz w:val="28"/>
          <w:szCs w:val="28"/>
          <w:lang w:val="en-US"/>
        </w:rPr>
        <w:t>. The panel considered that there was only limited evidence to support use of celecoxib over other NSAIDs, but that short courses of treatment with celecoxib may have less potential for harm.</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Evidence of the choice of </w:t>
      </w:r>
      <w:proofErr w:type="spellStart"/>
      <w:r w:rsidRPr="00E15825">
        <w:rPr>
          <w:color w:val="1C1D1E"/>
          <w:sz w:val="28"/>
          <w:szCs w:val="28"/>
          <w:lang w:val="en-US"/>
        </w:rPr>
        <w:t>TNFi</w:t>
      </w:r>
      <w:proofErr w:type="spellEnd"/>
      <w:r w:rsidRPr="00E15825">
        <w:rPr>
          <w:color w:val="1C1D1E"/>
          <w:sz w:val="28"/>
          <w:szCs w:val="28"/>
          <w:lang w:val="en-US"/>
        </w:rPr>
        <w:t xml:space="preserve"> in patients with AS and inflammatory bowel disease comes from a pooled analysis, which indicated lower risks of either flare or new onset of inflammatory bowel disease with infliximab than with </w:t>
      </w:r>
      <w:proofErr w:type="spellStart"/>
      <w:r w:rsidRPr="00E15825">
        <w:rPr>
          <w:color w:val="1C1D1E"/>
          <w:sz w:val="28"/>
          <w:szCs w:val="28"/>
          <w:lang w:val="en-US"/>
        </w:rPr>
        <w:t>etanercept</w:t>
      </w:r>
      <w:proofErr w:type="spellEnd"/>
      <w:r w:rsidRPr="00E15825">
        <w:rPr>
          <w:color w:val="1C1D1E"/>
          <w:sz w:val="28"/>
          <w:szCs w:val="28"/>
          <w:lang w:val="en-US"/>
        </w:rPr>
        <w:t xml:space="preserve">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15"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w:t>
      </w:r>
      <w:proofErr w:type="spellStart"/>
      <w:r w:rsidRPr="00E15825">
        <w:rPr>
          <w:color w:val="1C1D1E"/>
          <w:sz w:val="28"/>
          <w:szCs w:val="28"/>
          <w:lang w:val="en-US"/>
        </w:rPr>
        <w:t>Adalimumab</w:t>
      </w:r>
      <w:proofErr w:type="spellEnd"/>
      <w:r w:rsidRPr="00E15825">
        <w:rPr>
          <w:color w:val="1C1D1E"/>
          <w:sz w:val="28"/>
          <w:szCs w:val="28"/>
          <w:lang w:val="en-US"/>
        </w:rPr>
        <w:t xml:space="preserve"> was also associated with lower risks, although these associations were not as strong as those of </w:t>
      </w:r>
      <w:proofErr w:type="gramStart"/>
      <w:r w:rsidRPr="00E15825">
        <w:rPr>
          <w:color w:val="1C1D1E"/>
          <w:sz w:val="28"/>
          <w:szCs w:val="28"/>
          <w:lang w:val="en-US"/>
        </w:rPr>
        <w:t>infliximab</w:t>
      </w:r>
      <w:proofErr w:type="gramEnd"/>
      <w:r w:rsidRPr="00E15825">
        <w:rPr>
          <w:color w:val="1C1D1E"/>
          <w:sz w:val="28"/>
          <w:szCs w:val="28"/>
          <w:lang w:val="en-US"/>
        </w:rPr>
        <w:t xml:space="preserve">. The overall level of evidence </w:t>
      </w:r>
      <w:proofErr w:type="gramStart"/>
      <w:r w:rsidRPr="00E15825">
        <w:rPr>
          <w:color w:val="1C1D1E"/>
          <w:sz w:val="28"/>
          <w:szCs w:val="28"/>
          <w:lang w:val="en-US"/>
        </w:rPr>
        <w:t>was rated</w:t>
      </w:r>
      <w:proofErr w:type="gramEnd"/>
      <w:r w:rsidRPr="00E15825">
        <w:rPr>
          <w:color w:val="1C1D1E"/>
          <w:sz w:val="28"/>
          <w:szCs w:val="28"/>
          <w:lang w:val="en-US"/>
        </w:rPr>
        <w:t xml:space="preserve"> as very low because of risk of bias, inconsistency, and imprecision. In making the recommendation, the panel extrapolated from evidence from trials demonstrating the efficacy of </w:t>
      </w:r>
      <w:proofErr w:type="spellStart"/>
      <w:r w:rsidRPr="00E15825">
        <w:rPr>
          <w:color w:val="1C1D1E"/>
          <w:sz w:val="28"/>
          <w:szCs w:val="28"/>
          <w:lang w:val="en-US"/>
        </w:rPr>
        <w:t>TNFi</w:t>
      </w:r>
      <w:proofErr w:type="spellEnd"/>
      <w:r w:rsidRPr="00E15825">
        <w:rPr>
          <w:color w:val="1C1D1E"/>
          <w:sz w:val="28"/>
          <w:szCs w:val="28"/>
          <w:lang w:val="en-US"/>
        </w:rPr>
        <w:t xml:space="preserve"> monoclonal antibodies in the treatment of inflammatory bowel disease, but inefficacy of </w:t>
      </w:r>
      <w:proofErr w:type="spellStart"/>
      <w:r w:rsidRPr="00E15825">
        <w:rPr>
          <w:color w:val="1C1D1E"/>
          <w:sz w:val="28"/>
          <w:szCs w:val="28"/>
          <w:lang w:val="en-US"/>
        </w:rPr>
        <w:t>etanercept</w:t>
      </w:r>
      <w:proofErr w:type="spellEnd"/>
      <w:r w:rsidRPr="00E15825">
        <w:rPr>
          <w:color w:val="1C1D1E"/>
          <w:sz w:val="28"/>
          <w:szCs w:val="28"/>
          <w:lang w:val="en-US"/>
        </w:rPr>
        <w:t> </w:t>
      </w:r>
      <w:hyperlink r:id="rId116" w:anchor="acr22708-bib-0029" w:history="1">
        <w:r w:rsidRPr="00E15825">
          <w:rPr>
            <w:rStyle w:val="a6"/>
            <w:color w:val="005293"/>
            <w:sz w:val="28"/>
            <w:szCs w:val="28"/>
            <w:lang w:val="en-US"/>
          </w:rPr>
          <w:t>29</w:t>
        </w:r>
      </w:hyperlink>
      <w:r w:rsidRPr="00E15825">
        <w:rPr>
          <w:color w:val="1C1D1E"/>
          <w:sz w:val="28"/>
          <w:szCs w:val="28"/>
          <w:lang w:val="en-US"/>
        </w:rPr>
        <w:t>.</w:t>
      </w:r>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b/>
          <w:bCs/>
          <w:color w:val="1F1F1F"/>
          <w:sz w:val="28"/>
          <w:szCs w:val="28"/>
          <w:lang w:val="en-US"/>
        </w:rPr>
        <w:t>E. Education and preventive care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we conditionally recommend participation in formal group or individual self‐management education (PICO 48; moderate‐quality evidence; vote 91%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Self‐management education interventions in AS were tested in </w:t>
      </w:r>
      <w:proofErr w:type="gramStart"/>
      <w:r w:rsidRPr="00E15825">
        <w:rPr>
          <w:color w:val="1C1D1E"/>
          <w:sz w:val="28"/>
          <w:szCs w:val="28"/>
          <w:lang w:val="en-US"/>
        </w:rPr>
        <w:t>5</w:t>
      </w:r>
      <w:proofErr w:type="gramEnd"/>
      <w:r w:rsidRPr="00E15825">
        <w:rPr>
          <w:color w:val="1C1D1E"/>
          <w:sz w:val="28"/>
          <w:szCs w:val="28"/>
          <w:lang w:val="en-US"/>
        </w:rPr>
        <w:t xml:space="preserve"> controlled trials, with generally small but significant improvements in measures of disease </w:t>
      </w:r>
      <w:r w:rsidRPr="00E15825">
        <w:rPr>
          <w:color w:val="1C1D1E"/>
          <w:sz w:val="28"/>
          <w:szCs w:val="28"/>
          <w:lang w:val="en-US"/>
        </w:rPr>
        <w:lastRenderedPageBreak/>
        <w:t>activity and health status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17"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Attrition in some studies introduced a risk of bias, and the overall level of evidence </w:t>
      </w:r>
      <w:proofErr w:type="gramStart"/>
      <w:r w:rsidRPr="00E15825">
        <w:rPr>
          <w:color w:val="1C1D1E"/>
          <w:sz w:val="28"/>
          <w:szCs w:val="28"/>
          <w:lang w:val="en-US"/>
        </w:rPr>
        <w:t>was rated</w:t>
      </w:r>
      <w:proofErr w:type="gramEnd"/>
      <w:r w:rsidRPr="00E15825">
        <w:rPr>
          <w:color w:val="1C1D1E"/>
          <w:sz w:val="28"/>
          <w:szCs w:val="28"/>
          <w:lang w:val="en-US"/>
        </w:rPr>
        <w:t xml:space="preserve"> as moderate. The durability of short‐term improvements was unclear. The panel considered that there were few potential undesirable consequences of formal patient education interventions, but participation represents a time commitment for a potentially small and transient benefit. Stratifying group sessions into patients with similar durations or severity of AS may lessen anxiety for some patients. Only programs that </w:t>
      </w:r>
      <w:proofErr w:type="gramStart"/>
      <w:r w:rsidRPr="00E15825">
        <w:rPr>
          <w:color w:val="1C1D1E"/>
          <w:sz w:val="28"/>
          <w:szCs w:val="28"/>
          <w:lang w:val="en-US"/>
        </w:rPr>
        <w:t>have been demonstrated</w:t>
      </w:r>
      <w:proofErr w:type="gramEnd"/>
      <w:r w:rsidRPr="00E15825">
        <w:rPr>
          <w:color w:val="1C1D1E"/>
          <w:sz w:val="28"/>
          <w:szCs w:val="28"/>
          <w:lang w:val="en-US"/>
        </w:rPr>
        <w:t xml:space="preserve"> to be effective should be used. Apart from formal self‐management education, instruction of patients in the nature, treatments, and prognosis of AS is an important aspect of good clinical care.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we conditionally recommend fall evaluation and counseling (PICO 51;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No studies were found that examined the effectiveness of fall evaluations or fall counseling in patients with AS. Because falls can lead to spinal fractures and devastating neurologic consequences in some patients, the panel recommended fall evaluation and counseling for patients with osteoporosis, extensive spinal fusion, postural instability, or concomitant neurologic or musculoskeletal diseases that affect balance.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 we conditionally recommend screening for osteopenia/osteoporosis with dual x‐ray absorptiometry (DXA) scanning over no screening (PICO 49; very low‐quality evidence; vote 100% agreement).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 xml:space="preserve">In adults with AS and </w:t>
      </w:r>
      <w:proofErr w:type="spellStart"/>
      <w:r w:rsidRPr="00E15825">
        <w:rPr>
          <w:b/>
          <w:bCs/>
          <w:color w:val="1C1D1E"/>
          <w:sz w:val="28"/>
          <w:szCs w:val="28"/>
          <w:lang w:val="en-US"/>
        </w:rPr>
        <w:t>syndesmophytes</w:t>
      </w:r>
      <w:proofErr w:type="spellEnd"/>
      <w:r w:rsidRPr="00E15825">
        <w:rPr>
          <w:b/>
          <w:bCs/>
          <w:color w:val="1C1D1E"/>
          <w:sz w:val="28"/>
          <w:szCs w:val="28"/>
          <w:lang w:val="en-US"/>
        </w:rPr>
        <w:t xml:space="preserve"> or spinal fusion, we conditionally recommend screening for osteoporosis/osteopenia with DXA scanning of the spine as well as the hips, compared to DXA scanning solely of the hip or other non‐spine sites (PICO 50; very low‐quality evidence; vote 100%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rPr>
      </w:pPr>
      <w:proofErr w:type="spellStart"/>
      <w:r w:rsidRPr="00E15825">
        <w:rPr>
          <w:rFonts w:ascii="Times New Roman" w:hAnsi="Times New Roman" w:cs="Times New Roman"/>
          <w:color w:val="1F1F1F"/>
          <w:sz w:val="28"/>
          <w:szCs w:val="28"/>
        </w:rPr>
        <w:lastRenderedPageBreak/>
        <w:t>Evidence</w:t>
      </w:r>
      <w:proofErr w:type="spellEnd"/>
      <w:r w:rsidRPr="00E15825">
        <w:rPr>
          <w:rFonts w:ascii="Times New Roman" w:hAnsi="Times New Roman" w:cs="Times New Roman"/>
          <w:color w:val="1F1F1F"/>
          <w:sz w:val="28"/>
          <w:szCs w:val="28"/>
        </w:rPr>
        <w:t xml:space="preserve"> </w:t>
      </w:r>
      <w:proofErr w:type="spellStart"/>
      <w:r w:rsidRPr="00E15825">
        <w:rPr>
          <w:rFonts w:ascii="Times New Roman" w:hAnsi="Times New Roman" w:cs="Times New Roman"/>
          <w:color w:val="1F1F1F"/>
          <w:sz w:val="28"/>
          <w:szCs w:val="28"/>
        </w:rPr>
        <w:t>and</w:t>
      </w:r>
      <w:proofErr w:type="spellEnd"/>
      <w:r w:rsidRPr="00E15825">
        <w:rPr>
          <w:rFonts w:ascii="Times New Roman" w:hAnsi="Times New Roman" w:cs="Times New Roman"/>
          <w:color w:val="1F1F1F"/>
          <w:sz w:val="28"/>
          <w:szCs w:val="28"/>
        </w:rPr>
        <w:t xml:space="preserve"> </w:t>
      </w:r>
      <w:proofErr w:type="spellStart"/>
      <w:r w:rsidRPr="00E15825">
        <w:rPr>
          <w:rFonts w:ascii="Times New Roman" w:hAnsi="Times New Roman" w:cs="Times New Roman"/>
          <w:color w:val="1F1F1F"/>
          <w:sz w:val="28"/>
          <w:szCs w:val="28"/>
        </w:rPr>
        <w:t>rationale</w:t>
      </w:r>
      <w:proofErr w:type="spellEnd"/>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We did not identify any studies that compared different strategies of osteoporosis screening in patients with AS. Because osteoporosis is a treatable complication of AS, the panel thought that screening was indicated. The age and sex of the patient, the patient's level of physical activity, the duration and severity of AS, and presence or absence of other risk factors for osteoporosis should be considered in deciding when to begin screening and at what interval scans should be done.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Evidence on the validity of the spine DXA readings in the presence of </w:t>
      </w:r>
      <w:proofErr w:type="spellStart"/>
      <w:r w:rsidRPr="00E15825">
        <w:rPr>
          <w:color w:val="1C1D1E"/>
          <w:sz w:val="28"/>
          <w:szCs w:val="28"/>
          <w:lang w:val="en-US"/>
        </w:rPr>
        <w:t>syndesmophytes</w:t>
      </w:r>
      <w:proofErr w:type="spellEnd"/>
      <w:r w:rsidRPr="00E15825">
        <w:rPr>
          <w:color w:val="1C1D1E"/>
          <w:sz w:val="28"/>
          <w:szCs w:val="28"/>
          <w:lang w:val="en-US"/>
        </w:rPr>
        <w:t xml:space="preserve"> is limited and conflicting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18"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The panel thought that restricting DXA scans to non‐spine sites in patients with </w:t>
      </w:r>
      <w:proofErr w:type="spellStart"/>
      <w:r w:rsidRPr="00E15825">
        <w:rPr>
          <w:color w:val="1C1D1E"/>
          <w:sz w:val="28"/>
          <w:szCs w:val="28"/>
          <w:lang w:val="en-US"/>
        </w:rPr>
        <w:t>syndesmophytes</w:t>
      </w:r>
      <w:proofErr w:type="spellEnd"/>
      <w:r w:rsidRPr="00E15825">
        <w:rPr>
          <w:color w:val="1C1D1E"/>
          <w:sz w:val="28"/>
          <w:szCs w:val="28"/>
          <w:lang w:val="en-US"/>
        </w:rPr>
        <w:t xml:space="preserve"> or spinal fusion could potentially miss spinal osteoporosis in some patients, and therefore recommended that spine and hip DXA </w:t>
      </w:r>
      <w:proofErr w:type="gramStart"/>
      <w:r w:rsidRPr="00E15825">
        <w:rPr>
          <w:color w:val="1C1D1E"/>
          <w:sz w:val="28"/>
          <w:szCs w:val="28"/>
          <w:lang w:val="en-US"/>
        </w:rPr>
        <w:t>scans</w:t>
      </w:r>
      <w:proofErr w:type="gramEnd"/>
      <w:r w:rsidRPr="00E15825">
        <w:rPr>
          <w:color w:val="1C1D1E"/>
          <w:sz w:val="28"/>
          <w:szCs w:val="28"/>
          <w:lang w:val="en-US"/>
        </w:rPr>
        <w:t xml:space="preserve"> be included in the initial screening of most patients. The sites to </w:t>
      </w:r>
      <w:proofErr w:type="gramStart"/>
      <w:r w:rsidRPr="00E15825">
        <w:rPr>
          <w:color w:val="1C1D1E"/>
          <w:sz w:val="28"/>
          <w:szCs w:val="28"/>
          <w:lang w:val="en-US"/>
        </w:rPr>
        <w:t>be scanned</w:t>
      </w:r>
      <w:proofErr w:type="gramEnd"/>
      <w:r w:rsidRPr="00E15825">
        <w:rPr>
          <w:color w:val="1C1D1E"/>
          <w:sz w:val="28"/>
          <w:szCs w:val="28"/>
          <w:lang w:val="en-US"/>
        </w:rPr>
        <w:t xml:space="preserve"> subsequently should be those that are most informative on the initial screening.</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In adults with AS</w:t>
      </w:r>
      <w:r w:rsidRPr="00E15825">
        <w:rPr>
          <w:color w:val="1C1D1E"/>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We strongly recommend against screening for cardiac conduction defects with electrocardiograms (PICO 52; very low‐quality evidence; vote 82% agreement).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 xml:space="preserve">We strongly recommend against screening for </w:t>
      </w:r>
      <w:proofErr w:type="spellStart"/>
      <w:r w:rsidRPr="00E15825">
        <w:rPr>
          <w:b/>
          <w:bCs/>
          <w:color w:val="1C1D1E"/>
          <w:sz w:val="28"/>
          <w:szCs w:val="28"/>
          <w:lang w:val="en-US"/>
        </w:rPr>
        <w:t>valvular</w:t>
      </w:r>
      <w:proofErr w:type="spellEnd"/>
      <w:r w:rsidRPr="00E15825">
        <w:rPr>
          <w:b/>
          <w:bCs/>
          <w:color w:val="1C1D1E"/>
          <w:sz w:val="28"/>
          <w:szCs w:val="28"/>
          <w:lang w:val="en-US"/>
        </w:rPr>
        <w:t xml:space="preserve"> heart disease with echocardiograms (PICO 53; very low‐quality evidence; vote 90%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We did not identify studies that examined the effectiveness of screening for cardiac conduction defects or </w:t>
      </w:r>
      <w:proofErr w:type="spellStart"/>
      <w:r w:rsidRPr="00E15825">
        <w:rPr>
          <w:color w:val="1C1D1E"/>
          <w:sz w:val="28"/>
          <w:szCs w:val="28"/>
          <w:lang w:val="en-US"/>
        </w:rPr>
        <w:t>valvular</w:t>
      </w:r>
      <w:proofErr w:type="spellEnd"/>
      <w:r w:rsidRPr="00E15825">
        <w:rPr>
          <w:color w:val="1C1D1E"/>
          <w:sz w:val="28"/>
          <w:szCs w:val="28"/>
          <w:lang w:val="en-US"/>
        </w:rPr>
        <w:t xml:space="preserve"> heart disease in asymptomatic patients with AS. Conduction defects affect fewer than 10% of patients with AS </w:t>
      </w:r>
      <w:hyperlink r:id="rId119" w:anchor="acr22708-bib-0030" w:history="1">
        <w:r w:rsidRPr="00E15825">
          <w:rPr>
            <w:rStyle w:val="a6"/>
            <w:color w:val="005293"/>
            <w:sz w:val="28"/>
            <w:szCs w:val="28"/>
            <w:lang w:val="en-US"/>
          </w:rPr>
          <w:t>30</w:t>
        </w:r>
      </w:hyperlink>
      <w:r w:rsidRPr="00E15825">
        <w:rPr>
          <w:color w:val="1C1D1E"/>
          <w:sz w:val="28"/>
          <w:szCs w:val="28"/>
          <w:lang w:val="en-US"/>
        </w:rPr>
        <w:t xml:space="preserve">. Because treatment </w:t>
      </w:r>
      <w:proofErr w:type="gramStart"/>
      <w:r w:rsidRPr="00E15825">
        <w:rPr>
          <w:color w:val="1C1D1E"/>
          <w:sz w:val="28"/>
          <w:szCs w:val="28"/>
          <w:lang w:val="en-US"/>
        </w:rPr>
        <w:t>would not be indicated</w:t>
      </w:r>
      <w:proofErr w:type="gramEnd"/>
      <w:r w:rsidRPr="00E15825">
        <w:rPr>
          <w:color w:val="1C1D1E"/>
          <w:sz w:val="28"/>
          <w:szCs w:val="28"/>
          <w:lang w:val="en-US"/>
        </w:rPr>
        <w:t xml:space="preserve"> in the absence of symptoms, the panel ascribed little value to screening asymptomatic patients. Detection of minor conduction disturbances may cause patients unnecessary anxiety and generate repeated medical tests. Syncope, </w:t>
      </w:r>
      <w:r w:rsidRPr="00E15825">
        <w:rPr>
          <w:color w:val="1C1D1E"/>
          <w:sz w:val="28"/>
          <w:szCs w:val="28"/>
          <w:lang w:val="en-US"/>
        </w:rPr>
        <w:lastRenderedPageBreak/>
        <w:t>dizziness, palpitations, fatigue, angina, and heart failure are indications for investigation.</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Screening of asymptomatic patients with echocardiography for aortic valve disease would not likely detect occult abnormalities that </w:t>
      </w:r>
      <w:proofErr w:type="gramStart"/>
      <w:r w:rsidRPr="00E15825">
        <w:rPr>
          <w:color w:val="1C1D1E"/>
          <w:sz w:val="28"/>
          <w:szCs w:val="28"/>
          <w:lang w:val="en-US"/>
        </w:rPr>
        <w:t>could be treated</w:t>
      </w:r>
      <w:proofErr w:type="gramEnd"/>
      <w:r w:rsidRPr="00E15825">
        <w:rPr>
          <w:color w:val="1C1D1E"/>
          <w:sz w:val="28"/>
          <w:szCs w:val="28"/>
          <w:lang w:val="en-US"/>
        </w:rPr>
        <w:t xml:space="preserve"> to prevent progression to a symptomatic stage. The highly sensitive nature of echocardiography may lead to detection of minor abnormalities and cause anxiety. The panel judged that the undesirable consequences of screening, including its costs, outweighed the potential benefits.</w:t>
      </w:r>
    </w:p>
    <w:p w:rsidR="00E95DFF" w:rsidRPr="00E15825" w:rsidRDefault="00E95DFF" w:rsidP="00E15825">
      <w:pPr>
        <w:pStyle w:val="3"/>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b/>
          <w:bCs/>
          <w:color w:val="1F1F1F"/>
          <w:sz w:val="28"/>
          <w:szCs w:val="28"/>
          <w:lang w:val="en-US"/>
        </w:rPr>
        <w:t xml:space="preserve">F. Recommendations for the treatment of patients with </w:t>
      </w:r>
      <w:proofErr w:type="spellStart"/>
      <w:r w:rsidRPr="00E15825">
        <w:rPr>
          <w:rFonts w:ascii="Times New Roman" w:hAnsi="Times New Roman" w:cs="Times New Roman"/>
          <w:b/>
          <w:bCs/>
          <w:color w:val="1F1F1F"/>
          <w:sz w:val="28"/>
          <w:szCs w:val="28"/>
          <w:lang w:val="en-US"/>
        </w:rPr>
        <w:t>nonradiographic</w:t>
      </w:r>
      <w:proofErr w:type="spellEnd"/>
      <w:r w:rsidRPr="00E15825">
        <w:rPr>
          <w:rFonts w:ascii="Times New Roman" w:hAnsi="Times New Roman" w:cs="Times New Roman"/>
          <w:b/>
          <w:bCs/>
          <w:color w:val="1F1F1F"/>
          <w:sz w:val="28"/>
          <w:szCs w:val="28"/>
          <w:lang w:val="en-US"/>
        </w:rPr>
        <w:t xml:space="preserve"> axial </w:t>
      </w:r>
      <w:proofErr w:type="spellStart"/>
      <w:r w:rsidRPr="00E15825">
        <w:rPr>
          <w:rFonts w:ascii="Times New Roman" w:hAnsi="Times New Roman" w:cs="Times New Roman"/>
          <w:b/>
          <w:bCs/>
          <w:color w:val="1F1F1F"/>
          <w:sz w:val="28"/>
          <w:szCs w:val="28"/>
          <w:lang w:val="en-US"/>
        </w:rPr>
        <w:t>SpA</w:t>
      </w:r>
      <w:proofErr w:type="spellEnd"/>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The panel considered 20 PICO questions on pharmacologic treatment, use of rehabilitation, and monitoring of </w:t>
      </w:r>
      <w:proofErr w:type="spellStart"/>
      <w:r w:rsidRPr="00E15825">
        <w:rPr>
          <w:color w:val="1C1D1E"/>
          <w:sz w:val="28"/>
          <w:szCs w:val="28"/>
          <w:lang w:val="en-US"/>
        </w:rPr>
        <w:t>nonradiographic</w:t>
      </w:r>
      <w:proofErr w:type="spellEnd"/>
      <w:r w:rsidRPr="00E15825">
        <w:rPr>
          <w:color w:val="1C1D1E"/>
          <w:sz w:val="28"/>
          <w:szCs w:val="28"/>
          <w:lang w:val="en-US"/>
        </w:rPr>
        <w:t xml:space="preserve"> axial </w:t>
      </w:r>
      <w:proofErr w:type="spellStart"/>
      <w:r w:rsidRPr="00E15825">
        <w:rPr>
          <w:color w:val="1C1D1E"/>
          <w:sz w:val="28"/>
          <w:szCs w:val="28"/>
          <w:lang w:val="en-US"/>
        </w:rPr>
        <w:t>SpA</w:t>
      </w:r>
      <w:proofErr w:type="spellEnd"/>
      <w:r w:rsidRPr="00E15825">
        <w:rPr>
          <w:color w:val="1C1D1E"/>
          <w:sz w:val="28"/>
          <w:szCs w:val="28"/>
          <w:lang w:val="en-US"/>
        </w:rPr>
        <w:t xml:space="preserve"> that were analogous to the questions for AS (see Supplement B,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20"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Because </w:t>
      </w:r>
      <w:proofErr w:type="spellStart"/>
      <w:r w:rsidRPr="00E15825">
        <w:rPr>
          <w:color w:val="1C1D1E"/>
          <w:sz w:val="28"/>
          <w:szCs w:val="28"/>
          <w:lang w:val="en-US"/>
        </w:rPr>
        <w:t>nonradiographic</w:t>
      </w:r>
      <w:proofErr w:type="spellEnd"/>
      <w:r w:rsidRPr="00E15825">
        <w:rPr>
          <w:color w:val="1C1D1E"/>
          <w:sz w:val="28"/>
          <w:szCs w:val="28"/>
          <w:lang w:val="en-US"/>
        </w:rPr>
        <w:t xml:space="preserve"> axial </w:t>
      </w:r>
      <w:proofErr w:type="spellStart"/>
      <w:r w:rsidRPr="00E15825">
        <w:rPr>
          <w:color w:val="1C1D1E"/>
          <w:sz w:val="28"/>
          <w:szCs w:val="28"/>
          <w:lang w:val="en-US"/>
        </w:rPr>
        <w:t>SpA</w:t>
      </w:r>
      <w:proofErr w:type="spellEnd"/>
      <w:r w:rsidRPr="00E15825">
        <w:rPr>
          <w:color w:val="1C1D1E"/>
          <w:sz w:val="28"/>
          <w:szCs w:val="28"/>
          <w:lang w:val="en-US"/>
        </w:rPr>
        <w:t xml:space="preserve"> </w:t>
      </w:r>
      <w:proofErr w:type="gramStart"/>
      <w:r w:rsidRPr="00E15825">
        <w:rPr>
          <w:color w:val="1C1D1E"/>
          <w:sz w:val="28"/>
          <w:szCs w:val="28"/>
          <w:lang w:val="en-US"/>
        </w:rPr>
        <w:t>has only recently been defined</w:t>
      </w:r>
      <w:proofErr w:type="gramEnd"/>
      <w:r w:rsidRPr="00E15825">
        <w:rPr>
          <w:color w:val="1C1D1E"/>
          <w:sz w:val="28"/>
          <w:szCs w:val="28"/>
          <w:lang w:val="en-US"/>
        </w:rPr>
        <w:t>, the literature on treatment of this condition is limited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21"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Therefore, the panel relied on the AS literature as the basis for most recommendations, which are also provided in Supplement B. These recommendations were the same as for AS, with the exception of the PICO question on use of </w:t>
      </w:r>
      <w:proofErr w:type="spellStart"/>
      <w:r w:rsidRPr="00E15825">
        <w:rPr>
          <w:color w:val="1C1D1E"/>
          <w:sz w:val="28"/>
          <w:szCs w:val="28"/>
          <w:lang w:val="en-US"/>
        </w:rPr>
        <w:t>TNFi</w:t>
      </w:r>
      <w:proofErr w:type="spellEnd"/>
      <w:r w:rsidRPr="00E15825">
        <w:rPr>
          <w:color w:val="1C1D1E"/>
          <w:sz w:val="28"/>
          <w:szCs w:val="28"/>
          <w:lang w:val="en-US"/>
        </w:rPr>
        <w:t xml:space="preserve">. This question also had the highest level of evidence among those for </w:t>
      </w:r>
      <w:proofErr w:type="spellStart"/>
      <w:r w:rsidRPr="00E15825">
        <w:rPr>
          <w:color w:val="1C1D1E"/>
          <w:sz w:val="28"/>
          <w:szCs w:val="28"/>
          <w:lang w:val="en-US"/>
        </w:rPr>
        <w:t>nonradiographic</w:t>
      </w:r>
      <w:proofErr w:type="spellEnd"/>
      <w:r w:rsidRPr="00E15825">
        <w:rPr>
          <w:color w:val="1C1D1E"/>
          <w:sz w:val="28"/>
          <w:szCs w:val="28"/>
          <w:lang w:val="en-US"/>
        </w:rPr>
        <w:t xml:space="preserve"> axial </w:t>
      </w:r>
      <w:proofErr w:type="spellStart"/>
      <w:r w:rsidRPr="00E15825">
        <w:rPr>
          <w:color w:val="1C1D1E"/>
          <w:sz w:val="28"/>
          <w:szCs w:val="28"/>
          <w:lang w:val="en-US"/>
        </w:rPr>
        <w:t>SpA</w:t>
      </w:r>
      <w:proofErr w:type="spellEnd"/>
      <w:r w:rsidRPr="00E15825">
        <w:rPr>
          <w:color w:val="1C1D1E"/>
          <w:sz w:val="28"/>
          <w:szCs w:val="28"/>
          <w:lang w:val="en-US"/>
        </w:rPr>
        <w:t>.</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b/>
          <w:bCs/>
          <w:color w:val="1C1D1E"/>
          <w:sz w:val="28"/>
          <w:szCs w:val="28"/>
          <w:lang w:val="en-US"/>
        </w:rPr>
        <w:t xml:space="preserve">In adults with active </w:t>
      </w:r>
      <w:proofErr w:type="spellStart"/>
      <w:r w:rsidRPr="00E15825">
        <w:rPr>
          <w:b/>
          <w:bCs/>
          <w:color w:val="1C1D1E"/>
          <w:sz w:val="28"/>
          <w:szCs w:val="28"/>
          <w:lang w:val="en-US"/>
        </w:rPr>
        <w:t>nonradiographic</w:t>
      </w:r>
      <w:proofErr w:type="spellEnd"/>
      <w:r w:rsidRPr="00E15825">
        <w:rPr>
          <w:b/>
          <w:bCs/>
          <w:color w:val="1C1D1E"/>
          <w:sz w:val="28"/>
          <w:szCs w:val="28"/>
          <w:lang w:val="en-US"/>
        </w:rPr>
        <w:t xml:space="preserve"> axial </w:t>
      </w:r>
      <w:proofErr w:type="spellStart"/>
      <w:r w:rsidRPr="00E15825">
        <w:rPr>
          <w:b/>
          <w:bCs/>
          <w:color w:val="1C1D1E"/>
          <w:sz w:val="28"/>
          <w:szCs w:val="28"/>
          <w:lang w:val="en-US"/>
        </w:rPr>
        <w:t>SpA</w:t>
      </w:r>
      <w:proofErr w:type="spellEnd"/>
      <w:r w:rsidRPr="00E15825">
        <w:rPr>
          <w:b/>
          <w:bCs/>
          <w:color w:val="1C1D1E"/>
          <w:sz w:val="28"/>
          <w:szCs w:val="28"/>
          <w:lang w:val="en-US"/>
        </w:rPr>
        <w:t xml:space="preserve"> despite treatment with NSAIDs, we conditionally recommend treatment with </w:t>
      </w:r>
      <w:proofErr w:type="spellStart"/>
      <w:r w:rsidRPr="00E15825">
        <w:rPr>
          <w:b/>
          <w:bCs/>
          <w:color w:val="1C1D1E"/>
          <w:sz w:val="28"/>
          <w:szCs w:val="28"/>
          <w:lang w:val="en-US"/>
        </w:rPr>
        <w:t>TNFi</w:t>
      </w:r>
      <w:proofErr w:type="spellEnd"/>
      <w:r w:rsidRPr="00E15825">
        <w:rPr>
          <w:b/>
          <w:bCs/>
          <w:color w:val="1C1D1E"/>
          <w:sz w:val="28"/>
          <w:szCs w:val="28"/>
          <w:lang w:val="en-US"/>
        </w:rPr>
        <w:t xml:space="preserve"> over no treatment with </w:t>
      </w:r>
      <w:proofErr w:type="spellStart"/>
      <w:r w:rsidRPr="00E15825">
        <w:rPr>
          <w:b/>
          <w:bCs/>
          <w:color w:val="1C1D1E"/>
          <w:sz w:val="28"/>
          <w:szCs w:val="28"/>
          <w:lang w:val="en-US"/>
        </w:rPr>
        <w:t>TNFi</w:t>
      </w:r>
      <w:proofErr w:type="spellEnd"/>
      <w:r w:rsidRPr="00E15825">
        <w:rPr>
          <w:b/>
          <w:bCs/>
          <w:color w:val="1C1D1E"/>
          <w:sz w:val="28"/>
          <w:szCs w:val="28"/>
          <w:lang w:val="en-US"/>
        </w:rPr>
        <w:t xml:space="preserve"> (PICO 38; moderate‐quality evidence; vote 90% agreement).</w:t>
      </w:r>
    </w:p>
    <w:p w:rsidR="00E95DFF" w:rsidRPr="00E15825" w:rsidRDefault="00E95DFF" w:rsidP="00E15825">
      <w:pPr>
        <w:pStyle w:val="4"/>
        <w:shd w:val="clear" w:color="auto" w:fill="FFFFFF"/>
        <w:spacing w:before="0" w:line="360" w:lineRule="auto"/>
        <w:ind w:firstLine="709"/>
        <w:rPr>
          <w:rFonts w:ascii="Times New Roman" w:hAnsi="Times New Roman" w:cs="Times New Roman"/>
          <w:color w:val="1F1F1F"/>
          <w:sz w:val="28"/>
          <w:szCs w:val="28"/>
          <w:lang w:val="en-US"/>
        </w:rPr>
      </w:pPr>
      <w:r w:rsidRPr="00E15825">
        <w:rPr>
          <w:rFonts w:ascii="Times New Roman" w:hAnsi="Times New Roman" w:cs="Times New Roman"/>
          <w:color w:val="1F1F1F"/>
          <w:sz w:val="28"/>
          <w:szCs w:val="28"/>
          <w:lang w:val="en-US"/>
        </w:rPr>
        <w:t>Evidence and rationale</w:t>
      </w:r>
    </w:p>
    <w:p w:rsidR="00E95DFF" w:rsidRPr="00E15825" w:rsidRDefault="00E95DFF" w:rsidP="00E15825">
      <w:pPr>
        <w:pStyle w:val="a5"/>
        <w:shd w:val="clear" w:color="auto" w:fill="FFFFFF"/>
        <w:spacing w:before="0" w:beforeAutospacing="0" w:after="0" w:afterAutospacing="0" w:line="360" w:lineRule="auto"/>
        <w:ind w:firstLine="709"/>
        <w:rPr>
          <w:color w:val="1C1D1E"/>
          <w:sz w:val="28"/>
          <w:szCs w:val="28"/>
          <w:lang w:val="en-US"/>
        </w:rPr>
      </w:pPr>
      <w:r w:rsidRPr="00E15825">
        <w:rPr>
          <w:color w:val="1C1D1E"/>
          <w:sz w:val="28"/>
          <w:szCs w:val="28"/>
          <w:lang w:val="en-US"/>
        </w:rPr>
        <w:t xml:space="preserve">This recommendation was based on evidence from </w:t>
      </w:r>
      <w:proofErr w:type="gramStart"/>
      <w:r w:rsidRPr="00E15825">
        <w:rPr>
          <w:color w:val="1C1D1E"/>
          <w:sz w:val="28"/>
          <w:szCs w:val="28"/>
          <w:lang w:val="en-US"/>
        </w:rPr>
        <w:t>5</w:t>
      </w:r>
      <w:proofErr w:type="gramEnd"/>
      <w:r w:rsidRPr="00E15825">
        <w:rPr>
          <w:color w:val="1C1D1E"/>
          <w:sz w:val="28"/>
          <w:szCs w:val="28"/>
          <w:lang w:val="en-US"/>
        </w:rPr>
        <w:t xml:space="preserve"> controlled trials of </w:t>
      </w:r>
      <w:proofErr w:type="spellStart"/>
      <w:r w:rsidRPr="00E15825">
        <w:rPr>
          <w:color w:val="1C1D1E"/>
          <w:sz w:val="28"/>
          <w:szCs w:val="28"/>
          <w:lang w:val="en-US"/>
        </w:rPr>
        <w:t>adalimumab</w:t>
      </w:r>
      <w:proofErr w:type="spellEnd"/>
      <w:r w:rsidRPr="00E15825">
        <w:rPr>
          <w:color w:val="1C1D1E"/>
          <w:sz w:val="28"/>
          <w:szCs w:val="28"/>
          <w:lang w:val="en-US"/>
        </w:rPr>
        <w:t xml:space="preserve">, </w:t>
      </w:r>
      <w:proofErr w:type="spellStart"/>
      <w:r w:rsidRPr="00E15825">
        <w:rPr>
          <w:color w:val="1C1D1E"/>
          <w:sz w:val="28"/>
          <w:szCs w:val="28"/>
          <w:lang w:val="en-US"/>
        </w:rPr>
        <w:t>certolizumab</w:t>
      </w:r>
      <w:proofErr w:type="spellEnd"/>
      <w:r w:rsidRPr="00E15825">
        <w:rPr>
          <w:color w:val="1C1D1E"/>
          <w:sz w:val="28"/>
          <w:szCs w:val="28"/>
          <w:lang w:val="en-US"/>
        </w:rPr>
        <w:t xml:space="preserve">, </w:t>
      </w:r>
      <w:proofErr w:type="spellStart"/>
      <w:r w:rsidRPr="00E15825">
        <w:rPr>
          <w:color w:val="1C1D1E"/>
          <w:sz w:val="28"/>
          <w:szCs w:val="28"/>
          <w:lang w:val="en-US"/>
        </w:rPr>
        <w:t>etanercept</w:t>
      </w:r>
      <w:proofErr w:type="spellEnd"/>
      <w:r w:rsidRPr="00E15825">
        <w:rPr>
          <w:color w:val="1C1D1E"/>
          <w:sz w:val="28"/>
          <w:szCs w:val="28"/>
          <w:lang w:val="en-US"/>
        </w:rPr>
        <w:t>, and infliximab (see Supplement E: Evidence Report, available on the </w:t>
      </w:r>
      <w:r w:rsidRPr="00E15825">
        <w:rPr>
          <w:i/>
          <w:iCs/>
          <w:color w:val="1C1D1E"/>
          <w:sz w:val="28"/>
          <w:szCs w:val="28"/>
          <w:lang w:val="en-US"/>
        </w:rPr>
        <w:t>Arthritis Care &amp; Research</w:t>
      </w:r>
      <w:r w:rsidRPr="00E15825">
        <w:rPr>
          <w:color w:val="1C1D1E"/>
          <w:sz w:val="28"/>
          <w:szCs w:val="28"/>
          <w:lang w:val="en-US"/>
        </w:rPr>
        <w:t> web site at </w:t>
      </w:r>
      <w:hyperlink r:id="rId122" w:history="1">
        <w:r w:rsidRPr="00E15825">
          <w:rPr>
            <w:rStyle w:val="a6"/>
            <w:color w:val="005274"/>
            <w:sz w:val="28"/>
            <w:szCs w:val="28"/>
            <w:lang w:val="en-US"/>
          </w:rPr>
          <w:t>http://onlinelibrary.wiley.com/doi/10.1002/acr.22708/abstract</w:t>
        </w:r>
      </w:hyperlink>
      <w:r w:rsidRPr="00E15825">
        <w:rPr>
          <w:color w:val="1C1D1E"/>
          <w:sz w:val="28"/>
          <w:szCs w:val="28"/>
          <w:lang w:val="en-US"/>
        </w:rPr>
        <w:t xml:space="preserve">). Results consistently </w:t>
      </w:r>
      <w:r w:rsidRPr="00E15825">
        <w:rPr>
          <w:color w:val="1C1D1E"/>
          <w:sz w:val="28"/>
          <w:szCs w:val="28"/>
          <w:lang w:val="en-US"/>
        </w:rPr>
        <w:lastRenderedPageBreak/>
        <w:t xml:space="preserve">favored </w:t>
      </w:r>
      <w:proofErr w:type="spellStart"/>
      <w:r w:rsidRPr="00E15825">
        <w:rPr>
          <w:color w:val="1C1D1E"/>
          <w:sz w:val="28"/>
          <w:szCs w:val="28"/>
          <w:lang w:val="en-US"/>
        </w:rPr>
        <w:t>TNFi</w:t>
      </w:r>
      <w:proofErr w:type="spellEnd"/>
      <w:r w:rsidRPr="00E15825">
        <w:rPr>
          <w:color w:val="1C1D1E"/>
          <w:sz w:val="28"/>
          <w:szCs w:val="28"/>
          <w:lang w:val="en-US"/>
        </w:rPr>
        <w:t xml:space="preserve"> over placebo, but with imprecise estimates of effect. One trial included an unknown number of patients with AS. Overall, the quality of evidence for the critical outcomes was judged to be moderate, and the panel judged that treatment be considered in patients with active </w:t>
      </w:r>
      <w:proofErr w:type="spellStart"/>
      <w:r w:rsidRPr="00E15825">
        <w:rPr>
          <w:color w:val="1C1D1E"/>
          <w:sz w:val="28"/>
          <w:szCs w:val="28"/>
          <w:lang w:val="en-US"/>
        </w:rPr>
        <w:t>nonradiographic</w:t>
      </w:r>
      <w:proofErr w:type="spellEnd"/>
      <w:r w:rsidRPr="00E15825">
        <w:rPr>
          <w:color w:val="1C1D1E"/>
          <w:sz w:val="28"/>
          <w:szCs w:val="28"/>
          <w:lang w:val="en-US"/>
        </w:rPr>
        <w:t xml:space="preserve"> axial </w:t>
      </w:r>
      <w:proofErr w:type="spellStart"/>
      <w:r w:rsidRPr="00E15825">
        <w:rPr>
          <w:color w:val="1C1D1E"/>
          <w:sz w:val="28"/>
          <w:szCs w:val="28"/>
          <w:lang w:val="en-US"/>
        </w:rPr>
        <w:t>SpA</w:t>
      </w:r>
      <w:proofErr w:type="spellEnd"/>
      <w:r w:rsidRPr="00E15825">
        <w:rPr>
          <w:color w:val="1C1D1E"/>
          <w:sz w:val="28"/>
          <w:szCs w:val="28"/>
          <w:lang w:val="en-US"/>
        </w:rPr>
        <w:t xml:space="preserve"> not responsive to NSAIDs, particularly those with evidence of </w:t>
      </w:r>
      <w:proofErr w:type="spellStart"/>
      <w:r w:rsidRPr="00E15825">
        <w:rPr>
          <w:color w:val="1C1D1E"/>
          <w:sz w:val="28"/>
          <w:szCs w:val="28"/>
          <w:lang w:val="en-US"/>
        </w:rPr>
        <w:t>sacroiliitis</w:t>
      </w:r>
      <w:proofErr w:type="spellEnd"/>
      <w:r w:rsidRPr="00E15825">
        <w:rPr>
          <w:color w:val="1C1D1E"/>
          <w:sz w:val="28"/>
          <w:szCs w:val="28"/>
          <w:lang w:val="en-US"/>
        </w:rPr>
        <w:t xml:space="preserve"> on magnetic resonance imaging and/or an elevated CRP level. Patients should be thoroughly educated about the therapy and actively engaged in the treatment decision.</w:t>
      </w:r>
    </w:p>
    <w:p w:rsidR="00E95DFF" w:rsidRPr="00E95DFF" w:rsidRDefault="00E95DFF" w:rsidP="00B97A7C">
      <w:pPr>
        <w:ind w:firstLine="567"/>
        <w:rPr>
          <w:lang w:val="en-US"/>
        </w:rPr>
      </w:pPr>
      <w:r>
        <w:rPr>
          <w:noProof/>
          <w:lang w:eastAsia="ru-RU"/>
        </w:rPr>
        <w:lastRenderedPageBreak/>
        <w:drawing>
          <wp:inline distT="0" distB="0" distL="0" distR="0">
            <wp:extent cx="6210300" cy="9716235"/>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210300" cy="9716235"/>
                    </a:xfrm>
                    <a:prstGeom prst="rect">
                      <a:avLst/>
                    </a:prstGeom>
                    <a:noFill/>
                    <a:ln>
                      <a:noFill/>
                    </a:ln>
                  </pic:spPr>
                </pic:pic>
              </a:graphicData>
            </a:graphic>
          </wp:inline>
        </w:drawing>
      </w:r>
    </w:p>
    <w:sectPr w:rsidR="00E95DFF" w:rsidRPr="00E95DFF" w:rsidSect="00B97A7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837"/>
    <w:multiLevelType w:val="multilevel"/>
    <w:tmpl w:val="5DA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27B5D"/>
    <w:multiLevelType w:val="multilevel"/>
    <w:tmpl w:val="E8A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97EF0"/>
    <w:multiLevelType w:val="multilevel"/>
    <w:tmpl w:val="31B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9651D"/>
    <w:multiLevelType w:val="multilevel"/>
    <w:tmpl w:val="89B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460C8"/>
    <w:multiLevelType w:val="multilevel"/>
    <w:tmpl w:val="2A8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23F86"/>
    <w:multiLevelType w:val="multilevel"/>
    <w:tmpl w:val="85F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06874"/>
    <w:multiLevelType w:val="multilevel"/>
    <w:tmpl w:val="041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7C"/>
    <w:rsid w:val="009F7509"/>
    <w:rsid w:val="00AC5E52"/>
    <w:rsid w:val="00B97A7C"/>
    <w:rsid w:val="00D85C55"/>
    <w:rsid w:val="00E15825"/>
    <w:rsid w:val="00E9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48F6"/>
  <w15:chartTrackingRefBased/>
  <w15:docId w15:val="{9AEBFC19-94E9-4DEE-AC4A-296A3551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7A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9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95D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A7C"/>
    <w:rPr>
      <w:rFonts w:ascii="Times New Roman" w:eastAsia="Times New Roman" w:hAnsi="Times New Roman" w:cs="Times New Roman"/>
      <w:b/>
      <w:bCs/>
      <w:sz w:val="36"/>
      <w:szCs w:val="36"/>
      <w:lang w:eastAsia="ru-RU"/>
    </w:rPr>
  </w:style>
  <w:style w:type="paragraph" w:customStyle="1" w:styleId="style36">
    <w:name w:val="style36"/>
    <w:basedOn w:val="a"/>
    <w:rsid w:val="00B9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3">
    <w:name w:val="fontstyle223"/>
    <w:basedOn w:val="a0"/>
    <w:rsid w:val="00B97A7C"/>
  </w:style>
  <w:style w:type="character" w:styleId="a3">
    <w:name w:val="Strong"/>
    <w:basedOn w:val="a0"/>
    <w:uiPriority w:val="22"/>
    <w:qFormat/>
    <w:rsid w:val="00B97A7C"/>
    <w:rPr>
      <w:b/>
      <w:bCs/>
    </w:rPr>
  </w:style>
  <w:style w:type="character" w:styleId="a4">
    <w:name w:val="Emphasis"/>
    <w:basedOn w:val="a0"/>
    <w:uiPriority w:val="20"/>
    <w:qFormat/>
    <w:rsid w:val="00B97A7C"/>
    <w:rPr>
      <w:i/>
      <w:iCs/>
    </w:rPr>
  </w:style>
  <w:style w:type="paragraph" w:customStyle="1" w:styleId="listparagraph1">
    <w:name w:val="listparagraph1"/>
    <w:basedOn w:val="a"/>
    <w:rsid w:val="00B97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95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95DFF"/>
    <w:rPr>
      <w:color w:val="0000FF"/>
      <w:u w:val="single"/>
    </w:rPr>
  </w:style>
  <w:style w:type="character" w:customStyle="1" w:styleId="30">
    <w:name w:val="Заголовок 3 Знак"/>
    <w:basedOn w:val="a0"/>
    <w:link w:val="3"/>
    <w:uiPriority w:val="9"/>
    <w:semiHidden/>
    <w:rsid w:val="00E95DF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95DFF"/>
    <w:rPr>
      <w:rFonts w:asciiTheme="majorHAnsi" w:eastAsiaTheme="majorEastAsia" w:hAnsiTheme="majorHAnsi" w:cstheme="majorBidi"/>
      <w:i/>
      <w:iCs/>
      <w:color w:val="2E74B5" w:themeColor="accent1" w:themeShade="BF"/>
    </w:rPr>
  </w:style>
  <w:style w:type="character" w:customStyle="1" w:styleId="underlined">
    <w:name w:val="underlined"/>
    <w:basedOn w:val="a0"/>
    <w:rsid w:val="00E95DFF"/>
  </w:style>
  <w:style w:type="character" w:customStyle="1" w:styleId="mw-headline">
    <w:name w:val="mw-headline"/>
    <w:basedOn w:val="a0"/>
    <w:rsid w:val="00E95DFF"/>
  </w:style>
  <w:style w:type="character" w:customStyle="1" w:styleId="mw-editsection">
    <w:name w:val="mw-editsection"/>
    <w:basedOn w:val="a0"/>
    <w:rsid w:val="00E95DFF"/>
  </w:style>
  <w:style w:type="character" w:customStyle="1" w:styleId="mw-editsection-bracket">
    <w:name w:val="mw-editsection-bracket"/>
    <w:basedOn w:val="a0"/>
    <w:rsid w:val="00E95DFF"/>
  </w:style>
  <w:style w:type="character" w:customStyle="1" w:styleId="imagecaption">
    <w:name w:val="image_caption"/>
    <w:basedOn w:val="a0"/>
    <w:rsid w:val="00E1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304">
      <w:bodyDiv w:val="1"/>
      <w:marLeft w:val="0"/>
      <w:marRight w:val="0"/>
      <w:marTop w:val="0"/>
      <w:marBottom w:val="0"/>
      <w:divBdr>
        <w:top w:val="none" w:sz="0" w:space="0" w:color="auto"/>
        <w:left w:val="none" w:sz="0" w:space="0" w:color="auto"/>
        <w:bottom w:val="none" w:sz="0" w:space="0" w:color="auto"/>
        <w:right w:val="none" w:sz="0" w:space="0" w:color="auto"/>
      </w:divBdr>
    </w:div>
    <w:div w:id="308560465">
      <w:bodyDiv w:val="1"/>
      <w:marLeft w:val="0"/>
      <w:marRight w:val="0"/>
      <w:marTop w:val="0"/>
      <w:marBottom w:val="0"/>
      <w:divBdr>
        <w:top w:val="none" w:sz="0" w:space="0" w:color="auto"/>
        <w:left w:val="none" w:sz="0" w:space="0" w:color="auto"/>
        <w:bottom w:val="none" w:sz="0" w:space="0" w:color="auto"/>
        <w:right w:val="none" w:sz="0" w:space="0" w:color="auto"/>
      </w:divBdr>
      <w:divsChild>
        <w:div w:id="1023213685">
          <w:marLeft w:val="0"/>
          <w:marRight w:val="0"/>
          <w:marTop w:val="150"/>
          <w:marBottom w:val="270"/>
          <w:divBdr>
            <w:top w:val="none" w:sz="0" w:space="0" w:color="auto"/>
            <w:left w:val="none" w:sz="0" w:space="0" w:color="auto"/>
            <w:bottom w:val="none" w:sz="0" w:space="0" w:color="auto"/>
            <w:right w:val="none" w:sz="0" w:space="0" w:color="auto"/>
          </w:divBdr>
          <w:divsChild>
            <w:div w:id="1254707762">
              <w:marLeft w:val="0"/>
              <w:marRight w:val="0"/>
              <w:marTop w:val="150"/>
              <w:marBottom w:val="270"/>
              <w:divBdr>
                <w:top w:val="none" w:sz="0" w:space="0" w:color="auto"/>
                <w:left w:val="none" w:sz="0" w:space="0" w:color="auto"/>
                <w:bottom w:val="none" w:sz="0" w:space="0" w:color="auto"/>
                <w:right w:val="none" w:sz="0" w:space="0" w:color="auto"/>
              </w:divBdr>
            </w:div>
            <w:div w:id="2015375545">
              <w:marLeft w:val="0"/>
              <w:marRight w:val="0"/>
              <w:marTop w:val="150"/>
              <w:marBottom w:val="270"/>
              <w:divBdr>
                <w:top w:val="none" w:sz="0" w:space="0" w:color="auto"/>
                <w:left w:val="none" w:sz="0" w:space="0" w:color="auto"/>
                <w:bottom w:val="none" w:sz="0" w:space="0" w:color="auto"/>
                <w:right w:val="none" w:sz="0" w:space="0" w:color="auto"/>
              </w:divBdr>
              <w:divsChild>
                <w:div w:id="1460880482">
                  <w:marLeft w:val="0"/>
                  <w:marRight w:val="0"/>
                  <w:marTop w:val="150"/>
                  <w:marBottom w:val="270"/>
                  <w:divBdr>
                    <w:top w:val="none" w:sz="0" w:space="0" w:color="auto"/>
                    <w:left w:val="none" w:sz="0" w:space="0" w:color="auto"/>
                    <w:bottom w:val="none" w:sz="0" w:space="0" w:color="auto"/>
                    <w:right w:val="none" w:sz="0" w:space="0" w:color="auto"/>
                  </w:divBdr>
                </w:div>
                <w:div w:id="204216143">
                  <w:marLeft w:val="0"/>
                  <w:marRight w:val="0"/>
                  <w:marTop w:val="150"/>
                  <w:marBottom w:val="270"/>
                  <w:divBdr>
                    <w:top w:val="none" w:sz="0" w:space="0" w:color="auto"/>
                    <w:left w:val="none" w:sz="0" w:space="0" w:color="auto"/>
                    <w:bottom w:val="none" w:sz="0" w:space="0" w:color="auto"/>
                    <w:right w:val="none" w:sz="0" w:space="0" w:color="auto"/>
                  </w:divBdr>
                </w:div>
                <w:div w:id="1333217284">
                  <w:marLeft w:val="0"/>
                  <w:marRight w:val="0"/>
                  <w:marTop w:val="150"/>
                  <w:marBottom w:val="270"/>
                  <w:divBdr>
                    <w:top w:val="none" w:sz="0" w:space="0" w:color="auto"/>
                    <w:left w:val="none" w:sz="0" w:space="0" w:color="auto"/>
                    <w:bottom w:val="none" w:sz="0" w:space="0" w:color="auto"/>
                    <w:right w:val="none" w:sz="0" w:space="0" w:color="auto"/>
                  </w:divBdr>
                </w:div>
                <w:div w:id="1322463246">
                  <w:marLeft w:val="0"/>
                  <w:marRight w:val="0"/>
                  <w:marTop w:val="150"/>
                  <w:marBottom w:val="270"/>
                  <w:divBdr>
                    <w:top w:val="none" w:sz="0" w:space="0" w:color="auto"/>
                    <w:left w:val="none" w:sz="0" w:space="0" w:color="auto"/>
                    <w:bottom w:val="none" w:sz="0" w:space="0" w:color="auto"/>
                    <w:right w:val="none" w:sz="0" w:space="0" w:color="auto"/>
                  </w:divBdr>
                </w:div>
                <w:div w:id="344358197">
                  <w:marLeft w:val="0"/>
                  <w:marRight w:val="0"/>
                  <w:marTop w:val="150"/>
                  <w:marBottom w:val="270"/>
                  <w:divBdr>
                    <w:top w:val="none" w:sz="0" w:space="0" w:color="auto"/>
                    <w:left w:val="none" w:sz="0" w:space="0" w:color="auto"/>
                    <w:bottom w:val="none" w:sz="0" w:space="0" w:color="auto"/>
                    <w:right w:val="none" w:sz="0" w:space="0" w:color="auto"/>
                  </w:divBdr>
                </w:div>
                <w:div w:id="296643684">
                  <w:marLeft w:val="0"/>
                  <w:marRight w:val="0"/>
                  <w:marTop w:val="150"/>
                  <w:marBottom w:val="270"/>
                  <w:divBdr>
                    <w:top w:val="none" w:sz="0" w:space="0" w:color="auto"/>
                    <w:left w:val="none" w:sz="0" w:space="0" w:color="auto"/>
                    <w:bottom w:val="none" w:sz="0" w:space="0" w:color="auto"/>
                    <w:right w:val="none" w:sz="0" w:space="0" w:color="auto"/>
                  </w:divBdr>
                </w:div>
                <w:div w:id="1857377047">
                  <w:marLeft w:val="0"/>
                  <w:marRight w:val="0"/>
                  <w:marTop w:val="150"/>
                  <w:marBottom w:val="270"/>
                  <w:divBdr>
                    <w:top w:val="none" w:sz="0" w:space="0" w:color="auto"/>
                    <w:left w:val="none" w:sz="0" w:space="0" w:color="auto"/>
                    <w:bottom w:val="none" w:sz="0" w:space="0" w:color="auto"/>
                    <w:right w:val="none" w:sz="0" w:space="0" w:color="auto"/>
                  </w:divBdr>
                </w:div>
                <w:div w:id="1286349409">
                  <w:marLeft w:val="0"/>
                  <w:marRight w:val="0"/>
                  <w:marTop w:val="150"/>
                  <w:marBottom w:val="270"/>
                  <w:divBdr>
                    <w:top w:val="none" w:sz="0" w:space="0" w:color="auto"/>
                    <w:left w:val="none" w:sz="0" w:space="0" w:color="auto"/>
                    <w:bottom w:val="none" w:sz="0" w:space="0" w:color="auto"/>
                    <w:right w:val="none" w:sz="0" w:space="0" w:color="auto"/>
                  </w:divBdr>
                </w:div>
                <w:div w:id="1785497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28934883">
          <w:marLeft w:val="0"/>
          <w:marRight w:val="0"/>
          <w:marTop w:val="150"/>
          <w:marBottom w:val="270"/>
          <w:divBdr>
            <w:top w:val="none" w:sz="0" w:space="0" w:color="auto"/>
            <w:left w:val="none" w:sz="0" w:space="0" w:color="auto"/>
            <w:bottom w:val="none" w:sz="0" w:space="0" w:color="auto"/>
            <w:right w:val="none" w:sz="0" w:space="0" w:color="auto"/>
          </w:divBdr>
          <w:divsChild>
            <w:div w:id="1185167650">
              <w:marLeft w:val="0"/>
              <w:marRight w:val="0"/>
              <w:marTop w:val="150"/>
              <w:marBottom w:val="270"/>
              <w:divBdr>
                <w:top w:val="none" w:sz="0" w:space="0" w:color="auto"/>
                <w:left w:val="none" w:sz="0" w:space="0" w:color="auto"/>
                <w:bottom w:val="none" w:sz="0" w:space="0" w:color="auto"/>
                <w:right w:val="none" w:sz="0" w:space="0" w:color="auto"/>
              </w:divBdr>
              <w:divsChild>
                <w:div w:id="469902606">
                  <w:marLeft w:val="0"/>
                  <w:marRight w:val="0"/>
                  <w:marTop w:val="150"/>
                  <w:marBottom w:val="270"/>
                  <w:divBdr>
                    <w:top w:val="none" w:sz="0" w:space="0" w:color="auto"/>
                    <w:left w:val="none" w:sz="0" w:space="0" w:color="auto"/>
                    <w:bottom w:val="none" w:sz="0" w:space="0" w:color="auto"/>
                    <w:right w:val="none" w:sz="0" w:space="0" w:color="auto"/>
                  </w:divBdr>
                </w:div>
                <w:div w:id="274597522">
                  <w:marLeft w:val="0"/>
                  <w:marRight w:val="0"/>
                  <w:marTop w:val="150"/>
                  <w:marBottom w:val="270"/>
                  <w:divBdr>
                    <w:top w:val="none" w:sz="0" w:space="0" w:color="auto"/>
                    <w:left w:val="none" w:sz="0" w:space="0" w:color="auto"/>
                    <w:bottom w:val="none" w:sz="0" w:space="0" w:color="auto"/>
                    <w:right w:val="none" w:sz="0" w:space="0" w:color="auto"/>
                  </w:divBdr>
                </w:div>
                <w:div w:id="41709601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414283259">
          <w:marLeft w:val="0"/>
          <w:marRight w:val="0"/>
          <w:marTop w:val="150"/>
          <w:marBottom w:val="270"/>
          <w:divBdr>
            <w:top w:val="none" w:sz="0" w:space="0" w:color="auto"/>
            <w:left w:val="none" w:sz="0" w:space="0" w:color="auto"/>
            <w:bottom w:val="none" w:sz="0" w:space="0" w:color="auto"/>
            <w:right w:val="none" w:sz="0" w:space="0" w:color="auto"/>
          </w:divBdr>
          <w:divsChild>
            <w:div w:id="89396321">
              <w:marLeft w:val="0"/>
              <w:marRight w:val="0"/>
              <w:marTop w:val="150"/>
              <w:marBottom w:val="270"/>
              <w:divBdr>
                <w:top w:val="none" w:sz="0" w:space="0" w:color="auto"/>
                <w:left w:val="none" w:sz="0" w:space="0" w:color="auto"/>
                <w:bottom w:val="none" w:sz="0" w:space="0" w:color="auto"/>
                <w:right w:val="none" w:sz="0" w:space="0" w:color="auto"/>
              </w:divBdr>
              <w:divsChild>
                <w:div w:id="840509599">
                  <w:marLeft w:val="0"/>
                  <w:marRight w:val="0"/>
                  <w:marTop w:val="150"/>
                  <w:marBottom w:val="270"/>
                  <w:divBdr>
                    <w:top w:val="none" w:sz="0" w:space="0" w:color="auto"/>
                    <w:left w:val="none" w:sz="0" w:space="0" w:color="auto"/>
                    <w:bottom w:val="none" w:sz="0" w:space="0" w:color="auto"/>
                    <w:right w:val="none" w:sz="0" w:space="0" w:color="auto"/>
                  </w:divBdr>
                </w:div>
                <w:div w:id="1884362019">
                  <w:marLeft w:val="0"/>
                  <w:marRight w:val="0"/>
                  <w:marTop w:val="150"/>
                  <w:marBottom w:val="270"/>
                  <w:divBdr>
                    <w:top w:val="none" w:sz="0" w:space="0" w:color="auto"/>
                    <w:left w:val="none" w:sz="0" w:space="0" w:color="auto"/>
                    <w:bottom w:val="none" w:sz="0" w:space="0" w:color="auto"/>
                    <w:right w:val="none" w:sz="0" w:space="0" w:color="auto"/>
                  </w:divBdr>
                </w:div>
                <w:div w:id="202979716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565606330">
          <w:marLeft w:val="0"/>
          <w:marRight w:val="0"/>
          <w:marTop w:val="150"/>
          <w:marBottom w:val="270"/>
          <w:divBdr>
            <w:top w:val="none" w:sz="0" w:space="0" w:color="auto"/>
            <w:left w:val="none" w:sz="0" w:space="0" w:color="auto"/>
            <w:bottom w:val="none" w:sz="0" w:space="0" w:color="auto"/>
            <w:right w:val="none" w:sz="0" w:space="0" w:color="auto"/>
          </w:divBdr>
          <w:divsChild>
            <w:div w:id="1303805435">
              <w:marLeft w:val="0"/>
              <w:marRight w:val="0"/>
              <w:marTop w:val="150"/>
              <w:marBottom w:val="270"/>
              <w:divBdr>
                <w:top w:val="none" w:sz="0" w:space="0" w:color="auto"/>
                <w:left w:val="none" w:sz="0" w:space="0" w:color="auto"/>
                <w:bottom w:val="none" w:sz="0" w:space="0" w:color="auto"/>
                <w:right w:val="none" w:sz="0" w:space="0" w:color="auto"/>
              </w:divBdr>
              <w:divsChild>
                <w:div w:id="616525926">
                  <w:marLeft w:val="0"/>
                  <w:marRight w:val="0"/>
                  <w:marTop w:val="150"/>
                  <w:marBottom w:val="270"/>
                  <w:divBdr>
                    <w:top w:val="none" w:sz="0" w:space="0" w:color="auto"/>
                    <w:left w:val="none" w:sz="0" w:space="0" w:color="auto"/>
                    <w:bottom w:val="none" w:sz="0" w:space="0" w:color="auto"/>
                    <w:right w:val="none" w:sz="0" w:space="0" w:color="auto"/>
                  </w:divBdr>
                </w:div>
                <w:div w:id="843320298">
                  <w:marLeft w:val="0"/>
                  <w:marRight w:val="0"/>
                  <w:marTop w:val="150"/>
                  <w:marBottom w:val="270"/>
                  <w:divBdr>
                    <w:top w:val="none" w:sz="0" w:space="0" w:color="auto"/>
                    <w:left w:val="none" w:sz="0" w:space="0" w:color="auto"/>
                    <w:bottom w:val="none" w:sz="0" w:space="0" w:color="auto"/>
                    <w:right w:val="none" w:sz="0" w:space="0" w:color="auto"/>
                  </w:divBdr>
                </w:div>
                <w:div w:id="372539374">
                  <w:marLeft w:val="0"/>
                  <w:marRight w:val="0"/>
                  <w:marTop w:val="150"/>
                  <w:marBottom w:val="270"/>
                  <w:divBdr>
                    <w:top w:val="none" w:sz="0" w:space="0" w:color="auto"/>
                    <w:left w:val="none" w:sz="0" w:space="0" w:color="auto"/>
                    <w:bottom w:val="none" w:sz="0" w:space="0" w:color="auto"/>
                    <w:right w:val="none" w:sz="0" w:space="0" w:color="auto"/>
                  </w:divBdr>
                </w:div>
                <w:div w:id="132068693">
                  <w:marLeft w:val="0"/>
                  <w:marRight w:val="0"/>
                  <w:marTop w:val="150"/>
                  <w:marBottom w:val="270"/>
                  <w:divBdr>
                    <w:top w:val="none" w:sz="0" w:space="0" w:color="auto"/>
                    <w:left w:val="none" w:sz="0" w:space="0" w:color="auto"/>
                    <w:bottom w:val="none" w:sz="0" w:space="0" w:color="auto"/>
                    <w:right w:val="none" w:sz="0" w:space="0" w:color="auto"/>
                  </w:divBdr>
                </w:div>
                <w:div w:id="299968662">
                  <w:marLeft w:val="0"/>
                  <w:marRight w:val="0"/>
                  <w:marTop w:val="150"/>
                  <w:marBottom w:val="270"/>
                  <w:divBdr>
                    <w:top w:val="none" w:sz="0" w:space="0" w:color="auto"/>
                    <w:left w:val="none" w:sz="0" w:space="0" w:color="auto"/>
                    <w:bottom w:val="none" w:sz="0" w:space="0" w:color="auto"/>
                    <w:right w:val="none" w:sz="0" w:space="0" w:color="auto"/>
                  </w:divBdr>
                </w:div>
                <w:div w:id="38236484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5262915">
          <w:marLeft w:val="0"/>
          <w:marRight w:val="0"/>
          <w:marTop w:val="150"/>
          <w:marBottom w:val="270"/>
          <w:divBdr>
            <w:top w:val="none" w:sz="0" w:space="0" w:color="auto"/>
            <w:left w:val="none" w:sz="0" w:space="0" w:color="auto"/>
            <w:bottom w:val="none" w:sz="0" w:space="0" w:color="auto"/>
            <w:right w:val="none" w:sz="0" w:space="0" w:color="auto"/>
          </w:divBdr>
          <w:divsChild>
            <w:div w:id="67075414">
              <w:marLeft w:val="0"/>
              <w:marRight w:val="0"/>
              <w:marTop w:val="150"/>
              <w:marBottom w:val="270"/>
              <w:divBdr>
                <w:top w:val="none" w:sz="0" w:space="0" w:color="auto"/>
                <w:left w:val="none" w:sz="0" w:space="0" w:color="auto"/>
                <w:bottom w:val="none" w:sz="0" w:space="0" w:color="auto"/>
                <w:right w:val="none" w:sz="0" w:space="0" w:color="auto"/>
              </w:divBdr>
              <w:divsChild>
                <w:div w:id="1232349651">
                  <w:marLeft w:val="0"/>
                  <w:marRight w:val="0"/>
                  <w:marTop w:val="150"/>
                  <w:marBottom w:val="270"/>
                  <w:divBdr>
                    <w:top w:val="none" w:sz="0" w:space="0" w:color="auto"/>
                    <w:left w:val="none" w:sz="0" w:space="0" w:color="auto"/>
                    <w:bottom w:val="none" w:sz="0" w:space="0" w:color="auto"/>
                    <w:right w:val="none" w:sz="0" w:space="0" w:color="auto"/>
                  </w:divBdr>
                </w:div>
                <w:div w:id="564756435">
                  <w:marLeft w:val="0"/>
                  <w:marRight w:val="0"/>
                  <w:marTop w:val="150"/>
                  <w:marBottom w:val="270"/>
                  <w:divBdr>
                    <w:top w:val="none" w:sz="0" w:space="0" w:color="auto"/>
                    <w:left w:val="none" w:sz="0" w:space="0" w:color="auto"/>
                    <w:bottom w:val="none" w:sz="0" w:space="0" w:color="auto"/>
                    <w:right w:val="none" w:sz="0" w:space="0" w:color="auto"/>
                  </w:divBdr>
                </w:div>
                <w:div w:id="2033070274">
                  <w:marLeft w:val="0"/>
                  <w:marRight w:val="0"/>
                  <w:marTop w:val="150"/>
                  <w:marBottom w:val="270"/>
                  <w:divBdr>
                    <w:top w:val="none" w:sz="0" w:space="0" w:color="auto"/>
                    <w:left w:val="none" w:sz="0" w:space="0" w:color="auto"/>
                    <w:bottom w:val="none" w:sz="0" w:space="0" w:color="auto"/>
                    <w:right w:val="none" w:sz="0" w:space="0" w:color="auto"/>
                  </w:divBdr>
                </w:div>
                <w:div w:id="35554697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410737674">
          <w:marLeft w:val="0"/>
          <w:marRight w:val="0"/>
          <w:marTop w:val="150"/>
          <w:marBottom w:val="270"/>
          <w:divBdr>
            <w:top w:val="none" w:sz="0" w:space="0" w:color="auto"/>
            <w:left w:val="none" w:sz="0" w:space="0" w:color="auto"/>
            <w:bottom w:val="none" w:sz="0" w:space="0" w:color="auto"/>
            <w:right w:val="none" w:sz="0" w:space="0" w:color="auto"/>
          </w:divBdr>
          <w:divsChild>
            <w:div w:id="1928224418">
              <w:marLeft w:val="0"/>
              <w:marRight w:val="0"/>
              <w:marTop w:val="150"/>
              <w:marBottom w:val="270"/>
              <w:divBdr>
                <w:top w:val="none" w:sz="0" w:space="0" w:color="auto"/>
                <w:left w:val="none" w:sz="0" w:space="0" w:color="auto"/>
                <w:bottom w:val="none" w:sz="0" w:space="0" w:color="auto"/>
                <w:right w:val="none" w:sz="0" w:space="0" w:color="auto"/>
              </w:divBdr>
              <w:divsChild>
                <w:div w:id="141736098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 w:id="629746479">
      <w:bodyDiv w:val="1"/>
      <w:marLeft w:val="0"/>
      <w:marRight w:val="0"/>
      <w:marTop w:val="0"/>
      <w:marBottom w:val="0"/>
      <w:divBdr>
        <w:top w:val="none" w:sz="0" w:space="0" w:color="auto"/>
        <w:left w:val="none" w:sz="0" w:space="0" w:color="auto"/>
        <w:bottom w:val="none" w:sz="0" w:space="0" w:color="auto"/>
        <w:right w:val="none" w:sz="0" w:space="0" w:color="auto"/>
      </w:divBdr>
    </w:div>
    <w:div w:id="647327359">
      <w:bodyDiv w:val="1"/>
      <w:marLeft w:val="0"/>
      <w:marRight w:val="0"/>
      <w:marTop w:val="0"/>
      <w:marBottom w:val="0"/>
      <w:divBdr>
        <w:top w:val="none" w:sz="0" w:space="0" w:color="auto"/>
        <w:left w:val="none" w:sz="0" w:space="0" w:color="auto"/>
        <w:bottom w:val="none" w:sz="0" w:space="0" w:color="auto"/>
        <w:right w:val="none" w:sz="0" w:space="0" w:color="auto"/>
      </w:divBdr>
      <w:divsChild>
        <w:div w:id="1091046888">
          <w:marLeft w:val="336"/>
          <w:marRight w:val="0"/>
          <w:marTop w:val="120"/>
          <w:marBottom w:val="312"/>
          <w:divBdr>
            <w:top w:val="none" w:sz="0" w:space="0" w:color="auto"/>
            <w:left w:val="none" w:sz="0" w:space="0" w:color="auto"/>
            <w:bottom w:val="none" w:sz="0" w:space="0" w:color="auto"/>
            <w:right w:val="none" w:sz="0" w:space="0" w:color="auto"/>
          </w:divBdr>
          <w:divsChild>
            <w:div w:id="663436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725477">
          <w:marLeft w:val="336"/>
          <w:marRight w:val="0"/>
          <w:marTop w:val="120"/>
          <w:marBottom w:val="312"/>
          <w:divBdr>
            <w:top w:val="none" w:sz="0" w:space="0" w:color="auto"/>
            <w:left w:val="none" w:sz="0" w:space="0" w:color="auto"/>
            <w:bottom w:val="none" w:sz="0" w:space="0" w:color="auto"/>
            <w:right w:val="none" w:sz="0" w:space="0" w:color="auto"/>
          </w:divBdr>
          <w:divsChild>
            <w:div w:id="162018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7849812">
          <w:marLeft w:val="336"/>
          <w:marRight w:val="0"/>
          <w:marTop w:val="120"/>
          <w:marBottom w:val="312"/>
          <w:divBdr>
            <w:top w:val="none" w:sz="0" w:space="0" w:color="auto"/>
            <w:left w:val="none" w:sz="0" w:space="0" w:color="auto"/>
            <w:bottom w:val="none" w:sz="0" w:space="0" w:color="auto"/>
            <w:right w:val="none" w:sz="0" w:space="0" w:color="auto"/>
          </w:divBdr>
          <w:divsChild>
            <w:div w:id="545530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4227839">
      <w:bodyDiv w:val="1"/>
      <w:marLeft w:val="0"/>
      <w:marRight w:val="0"/>
      <w:marTop w:val="0"/>
      <w:marBottom w:val="0"/>
      <w:divBdr>
        <w:top w:val="none" w:sz="0" w:space="0" w:color="auto"/>
        <w:left w:val="none" w:sz="0" w:space="0" w:color="auto"/>
        <w:bottom w:val="none" w:sz="0" w:space="0" w:color="auto"/>
        <w:right w:val="none" w:sz="0" w:space="0" w:color="auto"/>
      </w:divBdr>
    </w:div>
    <w:div w:id="1207790650">
      <w:bodyDiv w:val="1"/>
      <w:marLeft w:val="0"/>
      <w:marRight w:val="0"/>
      <w:marTop w:val="0"/>
      <w:marBottom w:val="0"/>
      <w:divBdr>
        <w:top w:val="none" w:sz="0" w:space="0" w:color="auto"/>
        <w:left w:val="none" w:sz="0" w:space="0" w:color="auto"/>
        <w:bottom w:val="none" w:sz="0" w:space="0" w:color="auto"/>
        <w:right w:val="none" w:sz="0" w:space="0" w:color="auto"/>
      </w:divBdr>
    </w:div>
    <w:div w:id="1586063951">
      <w:bodyDiv w:val="1"/>
      <w:marLeft w:val="0"/>
      <w:marRight w:val="0"/>
      <w:marTop w:val="0"/>
      <w:marBottom w:val="0"/>
      <w:divBdr>
        <w:top w:val="none" w:sz="0" w:space="0" w:color="auto"/>
        <w:left w:val="none" w:sz="0" w:space="0" w:color="auto"/>
        <w:bottom w:val="none" w:sz="0" w:space="0" w:color="auto"/>
        <w:right w:val="none" w:sz="0" w:space="0" w:color="auto"/>
      </w:divBdr>
      <w:divsChild>
        <w:div w:id="882408229">
          <w:marLeft w:val="0"/>
          <w:marRight w:val="0"/>
          <w:marTop w:val="0"/>
          <w:marBottom w:val="0"/>
          <w:divBdr>
            <w:top w:val="none" w:sz="0" w:space="0" w:color="auto"/>
            <w:left w:val="none" w:sz="0" w:space="0" w:color="auto"/>
            <w:bottom w:val="none" w:sz="0" w:space="0" w:color="auto"/>
            <w:right w:val="none" w:sz="0" w:space="0" w:color="auto"/>
          </w:divBdr>
          <w:divsChild>
            <w:div w:id="1981569078">
              <w:marLeft w:val="0"/>
              <w:marRight w:val="0"/>
              <w:marTop w:val="0"/>
              <w:marBottom w:val="0"/>
              <w:divBdr>
                <w:top w:val="none" w:sz="0" w:space="0" w:color="auto"/>
                <w:left w:val="none" w:sz="0" w:space="0" w:color="auto"/>
                <w:bottom w:val="none" w:sz="0" w:space="0" w:color="auto"/>
                <w:right w:val="none" w:sz="0" w:space="0" w:color="auto"/>
              </w:divBdr>
            </w:div>
          </w:divsChild>
        </w:div>
        <w:div w:id="1728260670">
          <w:marLeft w:val="0"/>
          <w:marRight w:val="0"/>
          <w:marTop w:val="0"/>
          <w:marBottom w:val="0"/>
          <w:divBdr>
            <w:top w:val="none" w:sz="0" w:space="0" w:color="auto"/>
            <w:left w:val="none" w:sz="0" w:space="0" w:color="auto"/>
            <w:bottom w:val="none" w:sz="0" w:space="0" w:color="auto"/>
            <w:right w:val="none" w:sz="0" w:space="0" w:color="auto"/>
          </w:divBdr>
          <w:divsChild>
            <w:div w:id="1743063690">
              <w:marLeft w:val="0"/>
              <w:marRight w:val="0"/>
              <w:marTop w:val="135"/>
              <w:marBottom w:val="135"/>
              <w:divBdr>
                <w:top w:val="none" w:sz="0" w:space="0" w:color="auto"/>
                <w:left w:val="none" w:sz="0" w:space="0" w:color="auto"/>
                <w:bottom w:val="none" w:sz="0" w:space="0" w:color="auto"/>
                <w:right w:val="none" w:sz="0" w:space="0" w:color="auto"/>
              </w:divBdr>
            </w:div>
          </w:divsChild>
        </w:div>
        <w:div w:id="249975198">
          <w:marLeft w:val="0"/>
          <w:marRight w:val="0"/>
          <w:marTop w:val="0"/>
          <w:marBottom w:val="0"/>
          <w:divBdr>
            <w:top w:val="none" w:sz="0" w:space="0" w:color="auto"/>
            <w:left w:val="none" w:sz="0" w:space="0" w:color="auto"/>
            <w:bottom w:val="none" w:sz="0" w:space="0" w:color="auto"/>
            <w:right w:val="none" w:sz="0" w:space="0" w:color="auto"/>
          </w:divBdr>
          <w:divsChild>
            <w:div w:id="433401206">
              <w:marLeft w:val="0"/>
              <w:marRight w:val="0"/>
              <w:marTop w:val="135"/>
              <w:marBottom w:val="135"/>
              <w:divBdr>
                <w:top w:val="none" w:sz="0" w:space="0" w:color="auto"/>
                <w:left w:val="none" w:sz="0" w:space="0" w:color="auto"/>
                <w:bottom w:val="none" w:sz="0" w:space="0" w:color="auto"/>
                <w:right w:val="none" w:sz="0" w:space="0" w:color="auto"/>
              </w:divBdr>
            </w:div>
          </w:divsChild>
        </w:div>
        <w:div w:id="1807239594">
          <w:marLeft w:val="0"/>
          <w:marRight w:val="0"/>
          <w:marTop w:val="0"/>
          <w:marBottom w:val="0"/>
          <w:divBdr>
            <w:top w:val="none" w:sz="0" w:space="0" w:color="auto"/>
            <w:left w:val="none" w:sz="0" w:space="0" w:color="auto"/>
            <w:bottom w:val="none" w:sz="0" w:space="0" w:color="auto"/>
            <w:right w:val="none" w:sz="0" w:space="0" w:color="auto"/>
          </w:divBdr>
          <w:divsChild>
            <w:div w:id="1175077605">
              <w:marLeft w:val="0"/>
              <w:marRight w:val="0"/>
              <w:marTop w:val="135"/>
              <w:marBottom w:val="135"/>
              <w:divBdr>
                <w:top w:val="none" w:sz="0" w:space="0" w:color="auto"/>
                <w:left w:val="none" w:sz="0" w:space="0" w:color="auto"/>
                <w:bottom w:val="none" w:sz="0" w:space="0" w:color="auto"/>
                <w:right w:val="none" w:sz="0" w:space="0" w:color="auto"/>
              </w:divBdr>
              <w:divsChild>
                <w:div w:id="812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122">
          <w:marLeft w:val="0"/>
          <w:marRight w:val="0"/>
          <w:marTop w:val="0"/>
          <w:marBottom w:val="0"/>
          <w:divBdr>
            <w:top w:val="none" w:sz="0" w:space="0" w:color="auto"/>
            <w:left w:val="none" w:sz="0" w:space="0" w:color="auto"/>
            <w:bottom w:val="none" w:sz="0" w:space="0" w:color="auto"/>
            <w:right w:val="none" w:sz="0" w:space="0" w:color="auto"/>
          </w:divBdr>
          <w:divsChild>
            <w:div w:id="912082219">
              <w:marLeft w:val="0"/>
              <w:marRight w:val="0"/>
              <w:marTop w:val="135"/>
              <w:marBottom w:val="135"/>
              <w:divBdr>
                <w:top w:val="none" w:sz="0" w:space="0" w:color="auto"/>
                <w:left w:val="none" w:sz="0" w:space="0" w:color="auto"/>
                <w:bottom w:val="none" w:sz="0" w:space="0" w:color="auto"/>
                <w:right w:val="none" w:sz="0" w:space="0" w:color="auto"/>
              </w:divBdr>
              <w:divsChild>
                <w:div w:id="1676495762">
                  <w:marLeft w:val="0"/>
                  <w:marRight w:val="0"/>
                  <w:marTop w:val="0"/>
                  <w:marBottom w:val="0"/>
                  <w:divBdr>
                    <w:top w:val="none" w:sz="0" w:space="0" w:color="auto"/>
                    <w:left w:val="none" w:sz="0" w:space="0" w:color="auto"/>
                    <w:bottom w:val="none" w:sz="0" w:space="0" w:color="auto"/>
                    <w:right w:val="none" w:sz="0" w:space="0" w:color="auto"/>
                  </w:divBdr>
                  <w:divsChild>
                    <w:div w:id="2131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7452">
          <w:marLeft w:val="0"/>
          <w:marRight w:val="0"/>
          <w:marTop w:val="0"/>
          <w:marBottom w:val="0"/>
          <w:divBdr>
            <w:top w:val="none" w:sz="0" w:space="0" w:color="auto"/>
            <w:left w:val="none" w:sz="0" w:space="0" w:color="auto"/>
            <w:bottom w:val="none" w:sz="0" w:space="0" w:color="auto"/>
            <w:right w:val="none" w:sz="0" w:space="0" w:color="auto"/>
          </w:divBdr>
          <w:divsChild>
            <w:div w:id="632833639">
              <w:marLeft w:val="0"/>
              <w:marRight w:val="0"/>
              <w:marTop w:val="135"/>
              <w:marBottom w:val="135"/>
              <w:divBdr>
                <w:top w:val="none" w:sz="0" w:space="0" w:color="auto"/>
                <w:left w:val="none" w:sz="0" w:space="0" w:color="auto"/>
                <w:bottom w:val="none" w:sz="0" w:space="0" w:color="auto"/>
                <w:right w:val="none" w:sz="0" w:space="0" w:color="auto"/>
              </w:divBdr>
              <w:divsChild>
                <w:div w:id="763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rostaglandin_EP4_receptor" TargetMode="External"/><Relationship Id="rId117" Type="http://schemas.openxmlformats.org/officeDocument/2006/relationships/hyperlink" Target="http://onlinelibrary.wiley.com/doi/10.1002/acr.22708/abstract" TargetMode="External"/><Relationship Id="rId21" Type="http://schemas.openxmlformats.org/officeDocument/2006/relationships/hyperlink" Target="https://en.wikipedia.org/wiki/Tumor_necrosis_factor-alpha" TargetMode="External"/><Relationship Id="rId42" Type="http://schemas.openxmlformats.org/officeDocument/2006/relationships/hyperlink" Target="https://en.wikipedia.org/wiki/Ankylosing_spondylitis" TargetMode="External"/><Relationship Id="rId47" Type="http://schemas.openxmlformats.org/officeDocument/2006/relationships/hyperlink" Target="https://en.wikipedia.org/wiki/Ankylosing_spondylitis" TargetMode="External"/><Relationship Id="rId63" Type="http://schemas.openxmlformats.org/officeDocument/2006/relationships/hyperlink" Target="https://en.wikipedia.org/wiki/Ankylosing_spondylitis" TargetMode="External"/><Relationship Id="rId68" Type="http://schemas.openxmlformats.org/officeDocument/2006/relationships/hyperlink" Target="https://en.wikipedia.org/wiki/HLA-B27" TargetMode="External"/><Relationship Id="rId84" Type="http://schemas.openxmlformats.org/officeDocument/2006/relationships/hyperlink" Target="https://en.wikipedia.org/wiki/Ankylosing_spondylitis" TargetMode="External"/><Relationship Id="rId89" Type="http://schemas.openxmlformats.org/officeDocument/2006/relationships/hyperlink" Target="http://onlinelibrary.wiley.com/doi/10.1002/acr.22708/abstract" TargetMode="External"/><Relationship Id="rId112" Type="http://schemas.openxmlformats.org/officeDocument/2006/relationships/hyperlink" Target="http://onlinelibrary.wiley.com/doi/10.1002/acr.22708/abstract" TargetMode="External"/><Relationship Id="rId16" Type="http://schemas.openxmlformats.org/officeDocument/2006/relationships/hyperlink" Target="https://en.wikipedia.org/wiki/HLA-B27" TargetMode="External"/><Relationship Id="rId107" Type="http://schemas.openxmlformats.org/officeDocument/2006/relationships/hyperlink" Target="http://onlinelibrary.wiley.com/doi/10.1002/acr.22708/abstract" TargetMode="External"/><Relationship Id="rId11" Type="http://schemas.openxmlformats.org/officeDocument/2006/relationships/hyperlink" Target="https://onlinelibrary.wiley.com/doi/full/10.1002/acr.22708" TargetMode="External"/><Relationship Id="rId32" Type="http://schemas.openxmlformats.org/officeDocument/2006/relationships/hyperlink" Target="https://en.wikipedia.org/wiki/Reactive_arthritis" TargetMode="External"/><Relationship Id="rId37" Type="http://schemas.openxmlformats.org/officeDocument/2006/relationships/hyperlink" Target="https://en.wikipedia.org/wiki/Anulus_fibrosus_disci_intervertebralis" TargetMode="External"/><Relationship Id="rId53" Type="http://schemas.openxmlformats.org/officeDocument/2006/relationships/hyperlink" Target="https://en.wikipedia.org/wiki/Prostatitis" TargetMode="External"/><Relationship Id="rId58" Type="http://schemas.openxmlformats.org/officeDocument/2006/relationships/hyperlink" Target="https://en.wikipedia.org/wiki/Apex_of_lung" TargetMode="External"/><Relationship Id="rId74" Type="http://schemas.openxmlformats.org/officeDocument/2006/relationships/hyperlink" Target="https://en.wikipedia.org/wiki/Uveitis" TargetMode="External"/><Relationship Id="rId79" Type="http://schemas.openxmlformats.org/officeDocument/2006/relationships/hyperlink" Target="https://en.wikipedia.org/wiki/Computed_tomography" TargetMode="External"/><Relationship Id="rId102" Type="http://schemas.openxmlformats.org/officeDocument/2006/relationships/hyperlink" Target="http://onlinelibrary.wiley.com/doi/10.1002/acr.22708/abstract" TargetMode="External"/><Relationship Id="rId123" Type="http://schemas.openxmlformats.org/officeDocument/2006/relationships/image" Target="media/image2.jpeg"/><Relationship Id="rId5" Type="http://schemas.openxmlformats.org/officeDocument/2006/relationships/hyperlink" Target="https://onlinelibrary.wiley.com/doi/full/10.1002/acr.22708" TargetMode="External"/><Relationship Id="rId90" Type="http://schemas.openxmlformats.org/officeDocument/2006/relationships/hyperlink" Target="http://onlinelibrary.wiley.com/doi/10.1002/acr.22708/abstract" TargetMode="External"/><Relationship Id="rId95" Type="http://schemas.openxmlformats.org/officeDocument/2006/relationships/hyperlink" Target="http://onlinelibrary.wiley.com/doi/10.1002/acr.22708/abstract" TargetMode="External"/><Relationship Id="rId22" Type="http://schemas.openxmlformats.org/officeDocument/2006/relationships/hyperlink" Target="https://en.wikipedia.org/wiki/Interleukin_1" TargetMode="External"/><Relationship Id="rId27" Type="http://schemas.openxmlformats.org/officeDocument/2006/relationships/hyperlink" Target="https://en.wikipedia.org/wiki/Prostaglandin_E2" TargetMode="External"/><Relationship Id="rId43" Type="http://schemas.openxmlformats.org/officeDocument/2006/relationships/hyperlink" Target="https://en.wikipedia.org/wiki/Ankylosing_spondylitis" TargetMode="External"/><Relationship Id="rId48" Type="http://schemas.openxmlformats.org/officeDocument/2006/relationships/hyperlink" Target="https://en.wikipedia.org/wiki/Ectasia" TargetMode="External"/><Relationship Id="rId64" Type="http://schemas.openxmlformats.org/officeDocument/2006/relationships/hyperlink" Target="https://en.wikipedia.org/wiki/Sacroiliac_joint" TargetMode="External"/><Relationship Id="rId69" Type="http://schemas.openxmlformats.org/officeDocument/2006/relationships/hyperlink" Target="https://en.wikipedia.org/wiki/Nonsteroidal_anti-inflammatory_drugs" TargetMode="External"/><Relationship Id="rId113" Type="http://schemas.openxmlformats.org/officeDocument/2006/relationships/hyperlink" Target="https://onlinelibrary.wiley.com/doi/full/10.1002/acr.22708" TargetMode="External"/><Relationship Id="rId118" Type="http://schemas.openxmlformats.org/officeDocument/2006/relationships/hyperlink" Target="http://onlinelibrary.wiley.com/doi/10.1002/acr.22708/abstract" TargetMode="External"/><Relationship Id="rId80" Type="http://schemas.openxmlformats.org/officeDocument/2006/relationships/hyperlink" Target="https://en.wikipedia.org/wiki/Blood_test" TargetMode="External"/><Relationship Id="rId85" Type="http://schemas.openxmlformats.org/officeDocument/2006/relationships/hyperlink" Target="https://www.spineuniverse.com/exams-tests/diagnosing-back-or-neck-pain-physical-examination" TargetMode="External"/><Relationship Id="rId12" Type="http://schemas.openxmlformats.org/officeDocument/2006/relationships/hyperlink" Target="https://en.wikipedia.org/wiki/Ankylosing_spondylitis" TargetMode="External"/><Relationship Id="rId17" Type="http://schemas.openxmlformats.org/officeDocument/2006/relationships/hyperlink" Target="https://en.wikipedia.org/wiki/Immunoglobulin_A" TargetMode="External"/><Relationship Id="rId33" Type="http://schemas.openxmlformats.org/officeDocument/2006/relationships/hyperlink" Target="https://en.wikipedia.org/wiki/Wikipedia:Citation_needed" TargetMode="External"/><Relationship Id="rId38" Type="http://schemas.openxmlformats.org/officeDocument/2006/relationships/hyperlink" Target="https://en.wikipedia.org/wiki/Intervertebral_disc" TargetMode="External"/><Relationship Id="rId59" Type="http://schemas.openxmlformats.org/officeDocument/2006/relationships/hyperlink" Target="https://en.wikipedia.org/wiki/Axial_spondyloarthritis" TargetMode="External"/><Relationship Id="rId103" Type="http://schemas.openxmlformats.org/officeDocument/2006/relationships/hyperlink" Target="https://onlinelibrary.wiley.com/doi/full/10.1002/acr.22708" TargetMode="External"/><Relationship Id="rId108" Type="http://schemas.openxmlformats.org/officeDocument/2006/relationships/hyperlink" Target="https://onlinelibrary.wiley.com/doi/full/10.1002/acr.22708" TargetMode="External"/><Relationship Id="rId124" Type="http://schemas.openxmlformats.org/officeDocument/2006/relationships/fontTable" Target="fontTable.xml"/><Relationship Id="rId54" Type="http://schemas.openxmlformats.org/officeDocument/2006/relationships/hyperlink" Target="https://en.wikipedia.org/wiki/Aortitis" TargetMode="External"/><Relationship Id="rId70" Type="http://schemas.openxmlformats.org/officeDocument/2006/relationships/hyperlink" Target="https://en.wikipedia.org/wiki/C-reactive_protein" TargetMode="External"/><Relationship Id="rId75" Type="http://schemas.openxmlformats.org/officeDocument/2006/relationships/hyperlink" Target="https://en.wikipedia.org/wiki/Magnetic_resonance_imaging" TargetMode="External"/><Relationship Id="rId91" Type="http://schemas.openxmlformats.org/officeDocument/2006/relationships/hyperlink" Target="http://onlinelibrary.wiley.com/doi/10.1002/acr.22708/abstract" TargetMode="External"/><Relationship Id="rId96" Type="http://schemas.openxmlformats.org/officeDocument/2006/relationships/hyperlink" Target="http://onlinelibrary.wiley.com/doi/10.1002/acr.22708/abstract" TargetMode="External"/><Relationship Id="rId1" Type="http://schemas.openxmlformats.org/officeDocument/2006/relationships/numbering" Target="numbering.xml"/><Relationship Id="rId6" Type="http://schemas.openxmlformats.org/officeDocument/2006/relationships/hyperlink" Target="https://onlinelibrary.wiley.com/doi/full/10.1002/acr.22708" TargetMode="External"/><Relationship Id="rId23" Type="http://schemas.openxmlformats.org/officeDocument/2006/relationships/hyperlink" Target="https://en.wikipedia.org/wiki/Anti-neutrophil_cytoplasmic_antibody" TargetMode="External"/><Relationship Id="rId28" Type="http://schemas.openxmlformats.org/officeDocument/2006/relationships/hyperlink" Target="https://en.wikipedia.org/wiki/Prostaglandin_EP4_receptor" TargetMode="External"/><Relationship Id="rId49" Type="http://schemas.openxmlformats.org/officeDocument/2006/relationships/hyperlink" Target="https://en.wikipedia.org/wiki/Uveitis" TargetMode="External"/><Relationship Id="rId114" Type="http://schemas.openxmlformats.org/officeDocument/2006/relationships/hyperlink" Target="https://onlinelibrary.wiley.com/doi/full/10.1002/acr.22708" TargetMode="External"/><Relationship Id="rId119" Type="http://schemas.openxmlformats.org/officeDocument/2006/relationships/hyperlink" Target="https://onlinelibrary.wiley.com/doi/full/10.1002/acr.22708" TargetMode="External"/><Relationship Id="rId44" Type="http://schemas.openxmlformats.org/officeDocument/2006/relationships/hyperlink" Target="https://en.wikipedia.org/wiki/Sacroiliac_joint" TargetMode="External"/><Relationship Id="rId60" Type="http://schemas.openxmlformats.org/officeDocument/2006/relationships/hyperlink" Target="https://en.wikipedia.org/wiki/Ankylosing_spondylitis" TargetMode="External"/><Relationship Id="rId65" Type="http://schemas.openxmlformats.org/officeDocument/2006/relationships/hyperlink" Target="https://en.wikipedia.org/wiki/Vertebral_column" TargetMode="External"/><Relationship Id="rId81" Type="http://schemas.openxmlformats.org/officeDocument/2006/relationships/hyperlink" Target="https://en.wikipedia.org/wiki/BASDAI" TargetMode="External"/><Relationship Id="rId86" Type="http://schemas.openxmlformats.org/officeDocument/2006/relationships/image" Target="media/image1.png"/><Relationship Id="rId13" Type="http://schemas.openxmlformats.org/officeDocument/2006/relationships/hyperlink" Target="https://en.wikipedia.org/wiki/Ankylosing_spondylitis" TargetMode="External"/><Relationship Id="rId18" Type="http://schemas.openxmlformats.org/officeDocument/2006/relationships/hyperlink" Target="https://en.wikipedia.org/wiki/Spondylitis" TargetMode="External"/><Relationship Id="rId39" Type="http://schemas.openxmlformats.org/officeDocument/2006/relationships/hyperlink" Target="https://en.wikipedia.org/wiki/Ankylosing_spondylitis" TargetMode="External"/><Relationship Id="rId109" Type="http://schemas.openxmlformats.org/officeDocument/2006/relationships/hyperlink" Target="http://onlinelibrary.wiley.com/doi/10.1002/acr.22708/abstract" TargetMode="External"/><Relationship Id="rId34" Type="http://schemas.openxmlformats.org/officeDocument/2006/relationships/hyperlink" Target="https://en.wikipedia.org/wiki/CD4%2B_T_lymphocytes" TargetMode="External"/><Relationship Id="rId50" Type="http://schemas.openxmlformats.org/officeDocument/2006/relationships/hyperlink" Target="https://en.wikipedia.org/wiki/Floater" TargetMode="External"/><Relationship Id="rId55" Type="http://schemas.openxmlformats.org/officeDocument/2006/relationships/hyperlink" Target="https://en.wikipedia.org/wiki/Aortic_valve_insufficiency" TargetMode="External"/><Relationship Id="rId76" Type="http://schemas.openxmlformats.org/officeDocument/2006/relationships/hyperlink" Target="https://en.wikipedia.org/wiki/Ankylosing_spondylitis" TargetMode="External"/><Relationship Id="rId97" Type="http://schemas.openxmlformats.org/officeDocument/2006/relationships/hyperlink" Target="https://onlinelibrary.wiley.com/doi/full/10.1002/acr.22708" TargetMode="External"/><Relationship Id="rId104" Type="http://schemas.openxmlformats.org/officeDocument/2006/relationships/hyperlink" Target="https://onlinelibrary.wiley.com/doi/full/10.1002/acr.22708" TargetMode="External"/><Relationship Id="rId120" Type="http://schemas.openxmlformats.org/officeDocument/2006/relationships/hyperlink" Target="http://onlinelibrary.wiley.com/doi/10.1002/acr.22708/abstract" TargetMode="External"/><Relationship Id="rId125" Type="http://schemas.openxmlformats.org/officeDocument/2006/relationships/theme" Target="theme/theme1.xml"/><Relationship Id="rId7" Type="http://schemas.openxmlformats.org/officeDocument/2006/relationships/hyperlink" Target="https://onlinelibrary.wiley.com/doi/full/10.1002/acr.22708" TargetMode="External"/><Relationship Id="rId71" Type="http://schemas.openxmlformats.org/officeDocument/2006/relationships/hyperlink" Target="https://en.wikipedia.org/wiki/Erythrocyte_sedimentation_rate" TargetMode="External"/><Relationship Id="rId92" Type="http://schemas.openxmlformats.org/officeDocument/2006/relationships/hyperlink" Target="http://onlinelibrary.wiley.com/doi/10.1002/acr.22708/abstract" TargetMode="External"/><Relationship Id="rId2" Type="http://schemas.openxmlformats.org/officeDocument/2006/relationships/styles" Target="styles.xml"/><Relationship Id="rId29" Type="http://schemas.openxmlformats.org/officeDocument/2006/relationships/hyperlink" Target="https://en.wikipedia.org/wiki/Ankylosing_spondylitis" TargetMode="External"/><Relationship Id="rId24" Type="http://schemas.openxmlformats.org/officeDocument/2006/relationships/hyperlink" Target="https://en.wikipedia.org/wiki/Single_nucleotide_polymorphism" TargetMode="External"/><Relationship Id="rId40" Type="http://schemas.openxmlformats.org/officeDocument/2006/relationships/hyperlink" Target="https://en.wikipedia.org/wiki/Chronic_(medicine)" TargetMode="External"/><Relationship Id="rId45" Type="http://schemas.openxmlformats.org/officeDocument/2006/relationships/hyperlink" Target="https://en.wikipedia.org/wiki/Ankylosing_spondylitis" TargetMode="External"/><Relationship Id="rId66" Type="http://schemas.openxmlformats.org/officeDocument/2006/relationships/hyperlink" Target="https://en.wikipedia.org/wiki/Non-radiographic_axial_spondyloarthritis" TargetMode="External"/><Relationship Id="rId87" Type="http://schemas.openxmlformats.org/officeDocument/2006/relationships/hyperlink" Target="http://onlinelibrary.wiley.com/doi/10.1002/acr.22708/abstract" TargetMode="External"/><Relationship Id="rId110" Type="http://schemas.openxmlformats.org/officeDocument/2006/relationships/hyperlink" Target="http://onlinelibrary.wiley.com/doi/10.1002/acr.22708/abstract" TargetMode="External"/><Relationship Id="rId115" Type="http://schemas.openxmlformats.org/officeDocument/2006/relationships/hyperlink" Target="http://onlinelibrary.wiley.com/doi/10.1002/acr.22708/abstract" TargetMode="External"/><Relationship Id="rId61" Type="http://schemas.openxmlformats.org/officeDocument/2006/relationships/hyperlink" Target="https://en.wikipedia.org/wiki/Radiographic_axial_spondyloarthritis" TargetMode="External"/><Relationship Id="rId82" Type="http://schemas.openxmlformats.org/officeDocument/2006/relationships/hyperlink" Target="https://en.wikipedia.org/wiki/Bath,_Somerset" TargetMode="External"/><Relationship Id="rId19" Type="http://schemas.openxmlformats.org/officeDocument/2006/relationships/hyperlink" Target="https://en.wikipedia.org/wiki/HLA-B27" TargetMode="External"/><Relationship Id="rId14" Type="http://schemas.openxmlformats.org/officeDocument/2006/relationships/hyperlink" Target="https://en.wikipedia.org/wiki/Ankylosing_spondylitis" TargetMode="External"/><Relationship Id="rId30" Type="http://schemas.openxmlformats.org/officeDocument/2006/relationships/hyperlink" Target="https://en.wikipedia.org/wiki/Ankylosing_spondylitis" TargetMode="External"/><Relationship Id="rId35" Type="http://schemas.openxmlformats.org/officeDocument/2006/relationships/hyperlink" Target="https://en.wikipedia.org/wiki/CD8%2B_cytotoxic_T_cell" TargetMode="External"/><Relationship Id="rId56" Type="http://schemas.openxmlformats.org/officeDocument/2006/relationships/hyperlink" Target="https://en.wikipedia.org/wiki/Electrical_conduction_system_of_the_heart" TargetMode="External"/><Relationship Id="rId77" Type="http://schemas.openxmlformats.org/officeDocument/2006/relationships/hyperlink" Target="https://en.wikipedia.org/wiki/Ankylosing_spondylitis" TargetMode="External"/><Relationship Id="rId100" Type="http://schemas.openxmlformats.org/officeDocument/2006/relationships/hyperlink" Target="http://onlinelibrary.wiley.com/doi/10.1002/acr.22708/abstract" TargetMode="External"/><Relationship Id="rId105" Type="http://schemas.openxmlformats.org/officeDocument/2006/relationships/hyperlink" Target="https://onlinelibrary.wiley.com/doi/full/10.1002/acr.22708" TargetMode="External"/><Relationship Id="rId8" Type="http://schemas.openxmlformats.org/officeDocument/2006/relationships/hyperlink" Target="https://onlinelibrary.wiley.com/doi/full/10.1002/acr.22708" TargetMode="External"/><Relationship Id="rId51" Type="http://schemas.openxmlformats.org/officeDocument/2006/relationships/hyperlink" Target="https://en.wikipedia.org/wiki/Photophobia" TargetMode="External"/><Relationship Id="rId72" Type="http://schemas.openxmlformats.org/officeDocument/2006/relationships/hyperlink" Target="https://en.wikipedia.org/wiki/Psoriasis" TargetMode="External"/><Relationship Id="rId93" Type="http://schemas.openxmlformats.org/officeDocument/2006/relationships/hyperlink" Target="http://onlinelibrary.wiley.com/doi/10.1002/acr.22708/abstract" TargetMode="External"/><Relationship Id="rId98" Type="http://schemas.openxmlformats.org/officeDocument/2006/relationships/hyperlink" Target="https://onlinelibrary.wiley.com/doi/full/10.1002/acr.22708" TargetMode="External"/><Relationship Id="rId121" Type="http://schemas.openxmlformats.org/officeDocument/2006/relationships/hyperlink" Target="http://onlinelibrary.wiley.com/doi/10.1002/acr.22708/abstract" TargetMode="External"/><Relationship Id="rId3" Type="http://schemas.openxmlformats.org/officeDocument/2006/relationships/settings" Target="settings.xml"/><Relationship Id="rId25" Type="http://schemas.openxmlformats.org/officeDocument/2006/relationships/hyperlink" Target="https://en.wikipedia.org/wiki/Ankylosing_spondylitis" TargetMode="External"/><Relationship Id="rId46" Type="http://schemas.openxmlformats.org/officeDocument/2006/relationships/hyperlink" Target="https://en.wikipedia.org/wiki/Calcaneal_spur" TargetMode="External"/><Relationship Id="rId67" Type="http://schemas.openxmlformats.org/officeDocument/2006/relationships/hyperlink" Target="https://en.wikipedia.org/wiki/Biomarker" TargetMode="External"/><Relationship Id="rId116" Type="http://schemas.openxmlformats.org/officeDocument/2006/relationships/hyperlink" Target="https://onlinelibrary.wiley.com/doi/full/10.1002/acr.22708" TargetMode="External"/><Relationship Id="rId20" Type="http://schemas.openxmlformats.org/officeDocument/2006/relationships/hyperlink" Target="https://en.wikipedia.org/wiki/Ankylosing_spondylitis" TargetMode="External"/><Relationship Id="rId41" Type="http://schemas.openxmlformats.org/officeDocument/2006/relationships/hyperlink" Target="https://en.wikipedia.org/wiki/Ankylosing_spondylitis" TargetMode="External"/><Relationship Id="rId62" Type="http://schemas.openxmlformats.org/officeDocument/2006/relationships/hyperlink" Target="https://en.wikipedia.org/wiki/Non-radiographic_axial_spondyloarthritis" TargetMode="External"/><Relationship Id="rId83" Type="http://schemas.openxmlformats.org/officeDocument/2006/relationships/hyperlink" Target="https://en.wikipedia.org/wiki/Ankylosing_spondylitis" TargetMode="External"/><Relationship Id="rId88" Type="http://schemas.openxmlformats.org/officeDocument/2006/relationships/hyperlink" Target="http://onlinelibrary.wiley.com/doi/10.1002/acr.22708/abstract" TargetMode="External"/><Relationship Id="rId111" Type="http://schemas.openxmlformats.org/officeDocument/2006/relationships/hyperlink" Target="https://onlinelibrary.wiley.com/doi/full/10.1002/acr.22708" TargetMode="External"/><Relationship Id="rId15" Type="http://schemas.openxmlformats.org/officeDocument/2006/relationships/hyperlink" Target="https://en.wikipedia.org/wiki/Rheumatologist" TargetMode="External"/><Relationship Id="rId36" Type="http://schemas.openxmlformats.org/officeDocument/2006/relationships/hyperlink" Target="https://en.wikipedia.org/wiki/MHC_class_I" TargetMode="External"/><Relationship Id="rId57" Type="http://schemas.openxmlformats.org/officeDocument/2006/relationships/hyperlink" Target="https://en.wikipedia.org/wiki/Lung_fibrosis" TargetMode="External"/><Relationship Id="rId106" Type="http://schemas.openxmlformats.org/officeDocument/2006/relationships/hyperlink" Target="https://onlinelibrary.wiley.com/doi/full/10.1002/acr.22708" TargetMode="External"/><Relationship Id="rId10" Type="http://schemas.openxmlformats.org/officeDocument/2006/relationships/hyperlink" Target="https://onlinelibrary.wiley.com/doi/full/10.1002/acr.22708" TargetMode="External"/><Relationship Id="rId31" Type="http://schemas.openxmlformats.org/officeDocument/2006/relationships/hyperlink" Target="https://en.wikipedia.org/wiki/Wikipedia:Citation_needed" TargetMode="External"/><Relationship Id="rId52" Type="http://schemas.openxmlformats.org/officeDocument/2006/relationships/hyperlink" Target="https://en.wikipedia.org/wiki/HLA-B27" TargetMode="External"/><Relationship Id="rId73" Type="http://schemas.openxmlformats.org/officeDocument/2006/relationships/hyperlink" Target="https://en.wikipedia.org/wiki/Inflammatory_bowel_disease" TargetMode="External"/><Relationship Id="rId78" Type="http://schemas.openxmlformats.org/officeDocument/2006/relationships/hyperlink" Target="https://en.wikipedia.org/wiki/Sacroiliitis" TargetMode="External"/><Relationship Id="rId94" Type="http://schemas.openxmlformats.org/officeDocument/2006/relationships/hyperlink" Target="http://onlinelibrary.wiley.com/doi/10.1002/acr.22708/abstract" TargetMode="External"/><Relationship Id="rId99" Type="http://schemas.openxmlformats.org/officeDocument/2006/relationships/hyperlink" Target="https://onlinelibrary.wiley.com/doi/full/10.1002/acr.22708" TargetMode="External"/><Relationship Id="rId101" Type="http://schemas.openxmlformats.org/officeDocument/2006/relationships/hyperlink" Target="http://onlinelibrary.wiley.com/doi/10.1002/acr.22708/abstract" TargetMode="External"/><Relationship Id="rId122" Type="http://schemas.openxmlformats.org/officeDocument/2006/relationships/hyperlink" Target="http://onlinelibrary.wiley.com/doi/10.1002/acr.22708/abstract" TargetMode="External"/><Relationship Id="rId4" Type="http://schemas.openxmlformats.org/officeDocument/2006/relationships/webSettings" Target="webSettings.xml"/><Relationship Id="rId9" Type="http://schemas.openxmlformats.org/officeDocument/2006/relationships/hyperlink" Target="https://onlinelibrary.wiley.com/doi/full/10.1002/acr.22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52</Pages>
  <Words>14702</Words>
  <Characters>83806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2018-11-17T11:20:00Z</dcterms:created>
  <dcterms:modified xsi:type="dcterms:W3CDTF">2018-11-17T11:49:00Z</dcterms:modified>
</cp:coreProperties>
</file>