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44225D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A2C02" w:rsidRDefault="001711C9" w:rsidP="001711C9">
      <w:pPr>
        <w:jc w:val="center"/>
        <w:rPr>
          <w:b/>
          <w:bCs/>
          <w:sz w:val="28"/>
          <w:szCs w:val="28"/>
        </w:rPr>
      </w:pPr>
      <w:r w:rsidRPr="001711C9">
        <w:rPr>
          <w:b/>
          <w:bCs/>
          <w:sz w:val="28"/>
          <w:szCs w:val="28"/>
        </w:rPr>
        <w:t>3</w:t>
      </w:r>
      <w:r w:rsidR="001A2C02">
        <w:rPr>
          <w:b/>
          <w:bCs/>
          <w:sz w:val="28"/>
          <w:szCs w:val="28"/>
        </w:rPr>
        <w:t>7</w:t>
      </w:r>
      <w:r w:rsidRPr="001711C9">
        <w:rPr>
          <w:b/>
          <w:bCs/>
          <w:sz w:val="28"/>
          <w:szCs w:val="28"/>
        </w:rPr>
        <w:t>.05.0</w:t>
      </w:r>
      <w:r w:rsidR="001A2C02">
        <w:rPr>
          <w:b/>
          <w:bCs/>
          <w:sz w:val="28"/>
          <w:szCs w:val="28"/>
        </w:rPr>
        <w:t xml:space="preserve">1 </w:t>
      </w:r>
      <w:r w:rsidR="001A2C02" w:rsidRPr="001A2C02">
        <w:rPr>
          <w:b/>
          <w:bCs/>
          <w:sz w:val="28"/>
          <w:szCs w:val="28"/>
        </w:rPr>
        <w:t xml:space="preserve">Клиническая психология по специализации </w:t>
      </w:r>
    </w:p>
    <w:p w:rsidR="001711C9" w:rsidRPr="001711C9" w:rsidRDefault="001A2C02" w:rsidP="001711C9">
      <w:pPr>
        <w:jc w:val="center"/>
        <w:rPr>
          <w:b/>
          <w:bCs/>
          <w:sz w:val="28"/>
          <w:szCs w:val="28"/>
          <w:highlight w:val="yellow"/>
        </w:rPr>
      </w:pPr>
      <w:r w:rsidRPr="001A2C02">
        <w:rPr>
          <w:b/>
          <w:bCs/>
          <w:sz w:val="28"/>
          <w:szCs w:val="28"/>
        </w:rPr>
        <w:t>«Патопсихологическая д</w:t>
      </w:r>
      <w:r w:rsidRPr="001A2C02">
        <w:rPr>
          <w:b/>
          <w:bCs/>
          <w:sz w:val="28"/>
          <w:szCs w:val="28"/>
        </w:rPr>
        <w:t>и</w:t>
      </w:r>
      <w:r w:rsidRPr="001A2C02">
        <w:rPr>
          <w:b/>
          <w:bCs/>
          <w:sz w:val="28"/>
          <w:szCs w:val="28"/>
        </w:rPr>
        <w:t>агностика и психотерапия»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1711C9" w:rsidRPr="00FD0FD1" w:rsidRDefault="001711C9" w:rsidP="001711C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</w:t>
      </w:r>
      <w:r w:rsidR="001A2C0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.05.0</w:t>
      </w:r>
      <w:r w:rsidR="004422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1A2C02">
        <w:rPr>
          <w:sz w:val="28"/>
          <w:szCs w:val="28"/>
        </w:rPr>
        <w:t>Клиническая психология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EB4F8F" w:rsidRPr="00BE2E90" w:rsidRDefault="00EB4F8F" w:rsidP="00EB4F8F">
      <w:pPr>
        <w:ind w:firstLine="709"/>
        <w:jc w:val="center"/>
        <w:rPr>
          <w:color w:val="000000"/>
          <w:sz w:val="28"/>
          <w:szCs w:val="28"/>
        </w:rPr>
      </w:pPr>
      <w:r w:rsidRPr="00BE2E90">
        <w:rPr>
          <w:color w:val="000000"/>
          <w:sz w:val="28"/>
          <w:szCs w:val="28"/>
        </w:rPr>
        <w:t xml:space="preserve">протокол № </w:t>
      </w:r>
      <w:r w:rsidR="001A2C02">
        <w:rPr>
          <w:color w:val="000000"/>
          <w:sz w:val="28"/>
          <w:szCs w:val="28"/>
        </w:rPr>
        <w:t>2</w:t>
      </w:r>
      <w:r w:rsidRPr="00BE2E90">
        <w:rPr>
          <w:color w:val="000000"/>
          <w:sz w:val="28"/>
          <w:szCs w:val="28"/>
        </w:rPr>
        <w:t xml:space="preserve"> от </w:t>
      </w:r>
      <w:r w:rsidR="00404FB7">
        <w:rPr>
          <w:color w:val="000000"/>
          <w:sz w:val="28"/>
          <w:szCs w:val="28"/>
        </w:rPr>
        <w:t>«</w:t>
      </w:r>
      <w:r w:rsidRPr="00BE2E90">
        <w:rPr>
          <w:color w:val="000000"/>
          <w:sz w:val="28"/>
          <w:szCs w:val="28"/>
        </w:rPr>
        <w:t>2</w:t>
      </w:r>
      <w:r w:rsidR="001A2C02">
        <w:rPr>
          <w:color w:val="000000"/>
          <w:sz w:val="28"/>
          <w:szCs w:val="28"/>
        </w:rPr>
        <w:t>8</w:t>
      </w:r>
      <w:r w:rsidR="00404FB7">
        <w:rPr>
          <w:color w:val="000000"/>
          <w:sz w:val="28"/>
          <w:szCs w:val="28"/>
        </w:rPr>
        <w:t xml:space="preserve">» </w:t>
      </w:r>
      <w:r w:rsidR="001A2C02">
        <w:rPr>
          <w:color w:val="000000"/>
          <w:sz w:val="28"/>
          <w:szCs w:val="28"/>
        </w:rPr>
        <w:t>октября</w:t>
      </w:r>
      <w:r w:rsidRPr="00BE2E90">
        <w:rPr>
          <w:color w:val="000000"/>
          <w:sz w:val="28"/>
          <w:szCs w:val="28"/>
        </w:rPr>
        <w:t xml:space="preserve"> 201</w:t>
      </w:r>
      <w:r w:rsidR="001A2C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="00D16EF9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D16EF9" w:rsidRDefault="003E7E36" w:rsidP="00D16EF9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  <w:r w:rsidR="00D16EF9">
              <w:rPr>
                <w:i/>
                <w:sz w:val="28"/>
                <w:szCs w:val="28"/>
              </w:rPr>
              <w:t xml:space="preserve"> </w:t>
            </w:r>
            <w:r w:rsidRPr="00B22321">
              <w:rPr>
                <w:i/>
                <w:sz w:val="28"/>
                <w:szCs w:val="28"/>
              </w:rPr>
              <w:t>«</w:t>
            </w:r>
            <w:r w:rsidR="00D16EF9" w:rsidRPr="00D16EF9">
              <w:rPr>
                <w:i/>
                <w:sz w:val="28"/>
                <w:szCs w:val="28"/>
              </w:rPr>
              <w:t>История во</w:t>
            </w:r>
            <w:r w:rsidR="00D16EF9" w:rsidRPr="00D16EF9">
              <w:rPr>
                <w:i/>
                <w:sz w:val="28"/>
                <w:szCs w:val="28"/>
              </w:rPr>
              <w:t>з</w:t>
            </w:r>
            <w:r w:rsidR="00D16EF9" w:rsidRPr="00D16EF9">
              <w:rPr>
                <w:i/>
                <w:sz w:val="28"/>
                <w:szCs w:val="28"/>
              </w:rPr>
              <w:t>никновения и развития социологии. Общество как социокультурная система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CA5D8F"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Социол</w:t>
            </w:r>
            <w:r w:rsidR="00CA5D8F"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CA5D8F"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гия как наука, ее объект, предмет, м</w:t>
            </w:r>
            <w:r w:rsidR="00CA5D8F"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CA5D8F"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тоды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Возникн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вение социологии в XIX веке, вклад О. Конта в ее развитие. Натуралистическое и психологическое направления в с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циологии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Развитие социологии в ХХ – начале ХХ</w:t>
            </w:r>
            <w:proofErr w:type="gramStart"/>
            <w:r w:rsidR="00CA5D8F" w:rsidRPr="00CA5D8F">
              <w:rPr>
                <w:sz w:val="28"/>
                <w:szCs w:val="28"/>
              </w:rPr>
              <w:t>I</w:t>
            </w:r>
            <w:proofErr w:type="gramEnd"/>
            <w:r w:rsidR="00CA5D8F" w:rsidRPr="00CA5D8F">
              <w:rPr>
                <w:sz w:val="28"/>
                <w:szCs w:val="28"/>
              </w:rPr>
              <w:t xml:space="preserve"> вв.: о</w:t>
            </w:r>
            <w:r w:rsidR="00CA5D8F" w:rsidRPr="00CA5D8F">
              <w:rPr>
                <w:sz w:val="28"/>
                <w:szCs w:val="28"/>
              </w:rPr>
              <w:t>с</w:t>
            </w:r>
            <w:r w:rsidR="00CA5D8F" w:rsidRPr="00CA5D8F">
              <w:rPr>
                <w:sz w:val="28"/>
                <w:szCs w:val="28"/>
              </w:rPr>
              <w:t>новные парадигмы и теории. Развитие социологии в Ро</w:t>
            </w:r>
            <w:r w:rsidR="00CA5D8F" w:rsidRPr="00CA5D8F">
              <w:rPr>
                <w:sz w:val="28"/>
                <w:szCs w:val="28"/>
              </w:rPr>
              <w:t>с</w:t>
            </w:r>
            <w:r w:rsidR="00CA5D8F" w:rsidRPr="00CA5D8F">
              <w:rPr>
                <w:sz w:val="28"/>
                <w:szCs w:val="28"/>
              </w:rPr>
              <w:t>сии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Общество как социокульту</w:t>
            </w:r>
            <w:r w:rsidR="00CA5D8F" w:rsidRPr="00CA5D8F">
              <w:rPr>
                <w:sz w:val="28"/>
                <w:szCs w:val="28"/>
              </w:rPr>
              <w:t>р</w:t>
            </w:r>
            <w:r w:rsidR="00CA5D8F" w:rsidRPr="00CA5D8F">
              <w:rPr>
                <w:sz w:val="28"/>
                <w:szCs w:val="28"/>
              </w:rPr>
              <w:t>ная система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Социал</w:t>
            </w:r>
            <w:r w:rsidR="00CA5D8F" w:rsidRPr="00CA5D8F">
              <w:rPr>
                <w:sz w:val="28"/>
                <w:szCs w:val="28"/>
              </w:rPr>
              <w:t>ь</w:t>
            </w:r>
            <w:r w:rsidR="00CA5D8F" w:rsidRPr="00CA5D8F">
              <w:rPr>
                <w:sz w:val="28"/>
                <w:szCs w:val="28"/>
              </w:rPr>
              <w:t>ные институты и социальные орган</w:t>
            </w:r>
            <w:r w:rsidR="00CA5D8F" w:rsidRPr="00CA5D8F">
              <w:rPr>
                <w:sz w:val="28"/>
                <w:szCs w:val="28"/>
              </w:rPr>
              <w:t>и</w:t>
            </w:r>
            <w:r w:rsidR="00CA5D8F" w:rsidRPr="00CA5D8F">
              <w:rPr>
                <w:sz w:val="28"/>
                <w:szCs w:val="28"/>
              </w:rPr>
              <w:t>зации: понятие, в</w:t>
            </w:r>
            <w:r w:rsidR="00CA5D8F" w:rsidRPr="00CA5D8F">
              <w:rPr>
                <w:sz w:val="28"/>
                <w:szCs w:val="28"/>
              </w:rPr>
              <w:t>и</w:t>
            </w:r>
            <w:r w:rsidR="00CA5D8F" w:rsidRPr="00CA5D8F">
              <w:rPr>
                <w:sz w:val="28"/>
                <w:szCs w:val="28"/>
              </w:rPr>
              <w:t>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Социал</w:t>
            </w:r>
            <w:r w:rsidR="00CA5D8F" w:rsidRPr="00CA5D8F">
              <w:rPr>
                <w:sz w:val="28"/>
                <w:szCs w:val="28"/>
              </w:rPr>
              <w:t>ь</w:t>
            </w:r>
            <w:r w:rsidR="00CA5D8F" w:rsidRPr="00CA5D8F">
              <w:rPr>
                <w:sz w:val="28"/>
                <w:szCs w:val="28"/>
              </w:rPr>
              <w:t>ный институт семьи и брака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CA5D8F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B22321">
              <w:rPr>
                <w:color w:val="000000"/>
                <w:sz w:val="28"/>
                <w:szCs w:val="28"/>
              </w:rPr>
              <w:t xml:space="preserve"> </w:t>
            </w:r>
            <w:r w:rsidRPr="00B22321">
              <w:rPr>
                <w:color w:val="000000"/>
                <w:sz w:val="28"/>
                <w:szCs w:val="28"/>
              </w:rPr>
              <w:t>«</w:t>
            </w:r>
            <w:r w:rsidR="00CA5D8F" w:rsidRPr="00CA5D8F">
              <w:rPr>
                <w:color w:val="000000"/>
                <w:sz w:val="28"/>
                <w:szCs w:val="28"/>
              </w:rPr>
              <w:t>Ист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рия возникновения и развития социол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гии. Общество как социокультурная система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59EB" w:rsidRDefault="00592EFA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5959EB" w:rsidRDefault="005959EB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5959EB">
              <w:rPr>
                <w:bCs/>
                <w:i/>
                <w:iCs/>
                <w:color w:val="000000"/>
                <w:sz w:val="28"/>
                <w:szCs w:val="28"/>
              </w:rPr>
              <w:t>«Основные отрасли социологического знания, отдельные сферы социологии</w:t>
            </w:r>
            <w:r w:rsidR="00460289" w:rsidRPr="005959EB">
              <w:rPr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CA5D8F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CA5D8F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Социол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гический анализ культуры: понятие, основные подходы к анализу и сущность культуры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CA5D8F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97610"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гический анализ личности: пробл</w:t>
            </w:r>
            <w:r w:rsidR="00097610" w:rsidRPr="00097610">
              <w:rPr>
                <w:sz w:val="28"/>
                <w:szCs w:val="28"/>
              </w:rPr>
              <w:t>е</w:t>
            </w:r>
            <w:r w:rsidR="00097610" w:rsidRPr="00097610">
              <w:rPr>
                <w:sz w:val="28"/>
                <w:szCs w:val="28"/>
              </w:rPr>
              <w:t>матика понятия, о</w:t>
            </w:r>
            <w:r w:rsidR="00097610" w:rsidRPr="00097610">
              <w:rPr>
                <w:sz w:val="28"/>
                <w:szCs w:val="28"/>
              </w:rPr>
              <w:t>с</w:t>
            </w:r>
            <w:r w:rsidR="00097610" w:rsidRPr="00097610">
              <w:rPr>
                <w:sz w:val="28"/>
                <w:szCs w:val="28"/>
              </w:rPr>
              <w:t>новные факторы формирования ли</w:t>
            </w:r>
            <w:r w:rsidR="00097610" w:rsidRPr="00097610">
              <w:rPr>
                <w:sz w:val="28"/>
                <w:szCs w:val="28"/>
              </w:rPr>
              <w:t>ч</w:t>
            </w:r>
            <w:r w:rsidR="00097610" w:rsidRPr="00097610">
              <w:rPr>
                <w:sz w:val="28"/>
                <w:szCs w:val="28"/>
              </w:rPr>
              <w:t>ности, процесс с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циализации, типы личности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CA5D8F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097610">
              <w:rPr>
                <w:sz w:val="28"/>
                <w:szCs w:val="28"/>
              </w:rPr>
              <w:t>0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Социал</w:t>
            </w:r>
            <w:r w:rsidR="00097610" w:rsidRPr="00097610">
              <w:rPr>
                <w:sz w:val="28"/>
                <w:szCs w:val="28"/>
              </w:rPr>
              <w:t>ь</w:t>
            </w:r>
            <w:r w:rsidR="00097610" w:rsidRPr="00097610">
              <w:rPr>
                <w:sz w:val="28"/>
                <w:szCs w:val="28"/>
              </w:rPr>
              <w:t>ное поведение и с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циальный ко</w:t>
            </w:r>
            <w:r w:rsidR="00097610" w:rsidRPr="00097610">
              <w:rPr>
                <w:sz w:val="28"/>
                <w:szCs w:val="28"/>
              </w:rPr>
              <w:t>н</w:t>
            </w:r>
            <w:r w:rsidR="00097610" w:rsidRPr="00097610">
              <w:rPr>
                <w:sz w:val="28"/>
                <w:szCs w:val="28"/>
              </w:rPr>
              <w:t>троль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A2C02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97610">
              <w:rPr>
                <w:sz w:val="28"/>
                <w:szCs w:val="28"/>
              </w:rPr>
              <w:t>1</w:t>
            </w:r>
            <w:r w:rsidR="001A2C02">
              <w:rPr>
                <w:sz w:val="28"/>
                <w:szCs w:val="28"/>
              </w:rPr>
              <w:t>1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Социал</w:t>
            </w:r>
            <w:r w:rsidR="00097610" w:rsidRPr="00097610">
              <w:rPr>
                <w:sz w:val="28"/>
                <w:szCs w:val="28"/>
              </w:rPr>
              <w:t>ь</w:t>
            </w:r>
            <w:r w:rsidR="00097610" w:rsidRPr="00097610">
              <w:rPr>
                <w:sz w:val="28"/>
                <w:szCs w:val="28"/>
              </w:rPr>
              <w:t>ные конфликты: п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нятие, виды, общая проблематика, сп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собы регулиров</w:t>
            </w:r>
            <w:r w:rsidR="00097610" w:rsidRPr="00097610">
              <w:rPr>
                <w:sz w:val="28"/>
                <w:szCs w:val="28"/>
              </w:rPr>
              <w:t>а</w:t>
            </w:r>
            <w:r w:rsidR="00097610" w:rsidRPr="00097610">
              <w:rPr>
                <w:sz w:val="28"/>
                <w:szCs w:val="28"/>
              </w:rPr>
              <w:t>ния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A2C02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A2C02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гия медицины. М</w:t>
            </w:r>
            <w:r w:rsidR="00097610" w:rsidRPr="00097610">
              <w:rPr>
                <w:sz w:val="28"/>
                <w:szCs w:val="28"/>
              </w:rPr>
              <w:t>е</w:t>
            </w:r>
            <w:r w:rsidR="00097610" w:rsidRPr="00097610">
              <w:rPr>
                <w:sz w:val="28"/>
                <w:szCs w:val="28"/>
              </w:rPr>
              <w:t>тодика и методол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гия социальных и</w:t>
            </w:r>
            <w:r w:rsidR="00097610" w:rsidRPr="00097610">
              <w:rPr>
                <w:sz w:val="28"/>
                <w:szCs w:val="28"/>
              </w:rPr>
              <w:t>с</w:t>
            </w:r>
            <w:r w:rsidR="00097610" w:rsidRPr="00097610">
              <w:rPr>
                <w:sz w:val="28"/>
                <w:szCs w:val="28"/>
              </w:rPr>
              <w:t>следований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AF0054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F0054" w:rsidRPr="00B22321" w:rsidRDefault="00CA5D8F" w:rsidP="001A2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C02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460289" w:rsidRPr="00B22321" w:rsidRDefault="00AF0054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="00460289" w:rsidRPr="00B22321">
              <w:rPr>
                <w:color w:val="000000"/>
                <w:sz w:val="28"/>
                <w:szCs w:val="28"/>
              </w:rPr>
              <w:t xml:space="preserve"> 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«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lastRenderedPageBreak/>
              <w:t>новные отрасли 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циологического знания, отдельные сферы социологии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 xml:space="preserve">для контроля и самоконтроля </w:t>
            </w:r>
            <w:r w:rsidRPr="00B22321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553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</w:t>
            </w:r>
            <w:r w:rsidRPr="00B22321">
              <w:rPr>
                <w:sz w:val="28"/>
                <w:szCs w:val="28"/>
              </w:rPr>
              <w:lastRenderedPageBreak/>
              <w:t>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786F6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786F6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</w:t>
      </w:r>
      <w:bookmarkStart w:id="0" w:name="_GoBack"/>
      <w:bookmarkEnd w:id="0"/>
      <w:r w:rsidRPr="006E062D">
        <w:rPr>
          <w:color w:val="000000"/>
          <w:spacing w:val="-4"/>
          <w:sz w:val="28"/>
          <w:szCs w:val="28"/>
        </w:rPr>
        <w:t>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097610" w:rsidP="00FA0783">
      <w:pPr>
        <w:ind w:firstLine="709"/>
        <w:jc w:val="center"/>
        <w:rPr>
          <w:sz w:val="28"/>
        </w:rPr>
      </w:pPr>
      <w:r>
        <w:rPr>
          <w:sz w:val="28"/>
        </w:rPr>
        <w:t>(</w:t>
      </w:r>
      <w:r w:rsidR="00730C55" w:rsidRPr="00CA3EB2">
        <w:rPr>
          <w:sz w:val="28"/>
        </w:rPr>
        <w:t>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</w:t>
      </w:r>
      <w:r>
        <w:rPr>
          <w:sz w:val="28"/>
        </w:rPr>
        <w:t>лиц</w:t>
      </w:r>
      <w:r w:rsidR="00CA3EB2" w:rsidRPr="00CA3EB2">
        <w:rPr>
          <w:sz w:val="28"/>
          <w:szCs w:val="28"/>
        </w:rPr>
        <w:t>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lastRenderedPageBreak/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64" w:rsidRDefault="00786F64" w:rsidP="00FD5B6B">
      <w:r>
        <w:separator/>
      </w:r>
    </w:p>
  </w:endnote>
  <w:endnote w:type="continuationSeparator" w:id="0">
    <w:p w:rsidR="00786F64" w:rsidRDefault="00786F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F" w:rsidRDefault="00CA5D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A2C02">
      <w:rPr>
        <w:noProof/>
      </w:rPr>
      <w:t>12</w:t>
    </w:r>
    <w:r>
      <w:rPr>
        <w:noProof/>
      </w:rPr>
      <w:fldChar w:fldCharType="end"/>
    </w:r>
  </w:p>
  <w:p w:rsidR="00CA5D8F" w:rsidRDefault="00CA5D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64" w:rsidRDefault="00786F64" w:rsidP="00FD5B6B">
      <w:r>
        <w:separator/>
      </w:r>
    </w:p>
  </w:footnote>
  <w:footnote w:type="continuationSeparator" w:id="0">
    <w:p w:rsidR="00786F64" w:rsidRDefault="00786F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97610"/>
    <w:rsid w:val="000B665D"/>
    <w:rsid w:val="000D5168"/>
    <w:rsid w:val="001037E1"/>
    <w:rsid w:val="00131E56"/>
    <w:rsid w:val="00140405"/>
    <w:rsid w:val="00157CBD"/>
    <w:rsid w:val="001711C9"/>
    <w:rsid w:val="00196ACF"/>
    <w:rsid w:val="001A2C02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84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25D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959EB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86F64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A3EB2"/>
    <w:rsid w:val="00CA5D8F"/>
    <w:rsid w:val="00CD18BC"/>
    <w:rsid w:val="00D06B87"/>
    <w:rsid w:val="00D12731"/>
    <w:rsid w:val="00D16EF9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654FA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4666-71F4-4580-965C-1A0E5F4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12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109</cp:revision>
  <dcterms:created xsi:type="dcterms:W3CDTF">2019-02-11T07:28:00Z</dcterms:created>
  <dcterms:modified xsi:type="dcterms:W3CDTF">2019-05-13T05:27:00Z</dcterms:modified>
</cp:coreProperties>
</file>