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center"/>
        <w:rPr>
          <w:bCs/>
          <w:color w:val="000000"/>
          <w:spacing w:val="0"/>
          <w:sz w:val="28"/>
          <w:szCs w:val="28"/>
          <w:shd w:val="clear" w:color="auto" w:fill="FFFFFF"/>
        </w:rPr>
      </w:pPr>
      <w:r>
        <w:rPr>
          <w:bCs/>
          <w:color w:val="000000"/>
          <w:spacing w:val="0"/>
          <w:sz w:val="28"/>
          <w:szCs w:val="28"/>
          <w:shd w:val="clear" w:color="auto" w:fill="FFFFFF"/>
        </w:rPr>
        <w:t>ФГБОУ ВО «Оренбургский государственный медицинский университет Минздрава России»</w:t>
      </w: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center"/>
        <w:rPr>
          <w:bCs/>
          <w:color w:val="000000"/>
          <w:spacing w:val="0"/>
          <w:sz w:val="28"/>
          <w:szCs w:val="28"/>
          <w:shd w:val="clear" w:color="auto" w:fill="FFFFFF"/>
        </w:rPr>
      </w:pPr>
      <w:r>
        <w:rPr>
          <w:bCs/>
          <w:color w:val="000000"/>
          <w:spacing w:val="0"/>
          <w:sz w:val="28"/>
          <w:szCs w:val="28"/>
          <w:shd w:val="clear" w:color="auto" w:fill="FFFFFF"/>
        </w:rPr>
        <w:t>Кафедра общей и коммунальной гигиены</w:t>
      </w: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center"/>
        <w:rPr>
          <w:bCs/>
          <w:color w:val="000000"/>
          <w:spacing w:val="0"/>
          <w:sz w:val="28"/>
          <w:szCs w:val="28"/>
          <w:shd w:val="clear" w:color="auto" w:fill="FFFFFF"/>
        </w:rPr>
      </w:pP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center"/>
        <w:rPr>
          <w:bCs/>
          <w:color w:val="000000"/>
          <w:spacing w:val="0"/>
          <w:sz w:val="28"/>
          <w:szCs w:val="28"/>
          <w:shd w:val="clear" w:color="auto" w:fill="FFFFFF"/>
        </w:rPr>
      </w:pPr>
      <w:r>
        <w:rPr>
          <w:bCs/>
          <w:color w:val="000000"/>
          <w:spacing w:val="0"/>
          <w:sz w:val="28"/>
          <w:szCs w:val="28"/>
          <w:shd w:val="clear" w:color="auto" w:fill="FFFFFF"/>
        </w:rPr>
        <w:t>Дисциплина: «Социально-гигиенический мониторинги оценка риска здоровью населения»</w:t>
      </w: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rPr>
          <w:bCs/>
          <w:color w:val="000000"/>
          <w:spacing w:val="0"/>
          <w:sz w:val="28"/>
          <w:szCs w:val="28"/>
          <w:shd w:val="clear" w:color="auto" w:fill="FFFFFF"/>
        </w:rPr>
      </w:pPr>
      <w:r>
        <w:rPr>
          <w:bCs/>
          <w:color w:val="000000"/>
          <w:spacing w:val="0"/>
          <w:sz w:val="28"/>
          <w:szCs w:val="28"/>
          <w:shd w:val="clear" w:color="auto" w:fill="FFFFFF"/>
        </w:rPr>
        <w:t>Курс – 6                                                                                             Специальность</w:t>
      </w: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center"/>
        <w:rPr>
          <w:bCs/>
          <w:color w:val="000000"/>
          <w:spacing w:val="0"/>
          <w:sz w:val="28"/>
          <w:szCs w:val="28"/>
          <w:shd w:val="clear" w:color="auto" w:fill="FFFFFF"/>
        </w:rPr>
      </w:pPr>
      <w:r>
        <w:rPr>
          <w:bCs/>
          <w:color w:val="000000"/>
          <w:spacing w:val="0"/>
          <w:sz w:val="28"/>
          <w:szCs w:val="28"/>
          <w:shd w:val="clear" w:color="auto" w:fill="FFFFFF"/>
        </w:rPr>
        <w:t>32.05.01 Медико-профилактическое дело</w:t>
      </w: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center"/>
        <w:rPr>
          <w:bCs/>
          <w:color w:val="000000"/>
          <w:spacing w:val="0"/>
          <w:sz w:val="28"/>
          <w:szCs w:val="28"/>
          <w:shd w:val="clear" w:color="auto" w:fill="FFFFFF"/>
        </w:rPr>
      </w:pPr>
      <w:r>
        <w:rPr>
          <w:bCs/>
          <w:color w:val="000000"/>
          <w:spacing w:val="0"/>
          <w:sz w:val="28"/>
          <w:szCs w:val="28"/>
          <w:shd w:val="clear" w:color="auto" w:fill="FFFFFF"/>
        </w:rPr>
        <w:t>Семестр 12</w:t>
      </w: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both"/>
        <w:rPr>
          <w:spacing w:val="0"/>
          <w:sz w:val="28"/>
          <w:szCs w:val="28"/>
        </w:rPr>
      </w:pP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both"/>
        <w:rPr>
          <w:spacing w:val="0"/>
          <w:sz w:val="28"/>
          <w:szCs w:val="28"/>
        </w:rPr>
      </w:pP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both"/>
        <w:rPr>
          <w:spacing w:val="0"/>
          <w:sz w:val="28"/>
          <w:szCs w:val="28"/>
        </w:rPr>
      </w:pP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both"/>
        <w:rPr>
          <w:spacing w:val="0"/>
          <w:sz w:val="28"/>
          <w:szCs w:val="28"/>
        </w:rPr>
      </w:pP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center"/>
        <w:rPr>
          <w:spacing w:val="0"/>
          <w:sz w:val="28"/>
          <w:szCs w:val="28"/>
          <w:u w:val="single"/>
        </w:rPr>
      </w:pPr>
      <w:r>
        <w:rPr>
          <w:spacing w:val="0"/>
          <w:sz w:val="28"/>
          <w:szCs w:val="28"/>
          <w:u w:val="single"/>
        </w:rPr>
        <w:t>Практическое занятие №</w:t>
      </w:r>
      <w:r w:rsidR="009D4345">
        <w:rPr>
          <w:spacing w:val="0"/>
          <w:sz w:val="28"/>
          <w:szCs w:val="28"/>
          <w:u w:val="single"/>
        </w:rPr>
        <w:t>4</w:t>
      </w:r>
      <w:r>
        <w:rPr>
          <w:spacing w:val="0"/>
          <w:sz w:val="28"/>
          <w:szCs w:val="28"/>
          <w:u w:val="single"/>
        </w:rPr>
        <w:t>.</w:t>
      </w:r>
    </w:p>
    <w:p w:rsidR="006A7442" w:rsidRDefault="009D4345" w:rsidP="006A7442">
      <w:pPr>
        <w:pStyle w:val="4"/>
        <w:shd w:val="clear" w:color="auto" w:fill="auto"/>
        <w:spacing w:line="360" w:lineRule="auto"/>
        <w:ind w:firstLine="0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Гигиеническая оценка неканцерогенного риска. Оценка неканцерогенного риска на органы и системы.</w:t>
      </w: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center"/>
        <w:rPr>
          <w:spacing w:val="0"/>
          <w:sz w:val="28"/>
          <w:szCs w:val="28"/>
        </w:rPr>
      </w:pPr>
    </w:p>
    <w:p w:rsidR="006A7442" w:rsidRDefault="006A7442" w:rsidP="008A2847">
      <w:pPr>
        <w:pStyle w:val="4"/>
        <w:shd w:val="clear" w:color="auto" w:fill="auto"/>
        <w:spacing w:line="360" w:lineRule="auto"/>
        <w:ind w:firstLine="0"/>
        <w:rPr>
          <w:spacing w:val="0"/>
          <w:sz w:val="28"/>
          <w:szCs w:val="28"/>
        </w:rPr>
      </w:pP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rPr>
          <w:spacing w:val="0"/>
          <w:sz w:val="28"/>
          <w:szCs w:val="28"/>
        </w:rPr>
      </w:pP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center"/>
        <w:rPr>
          <w:spacing w:val="0"/>
          <w:sz w:val="28"/>
          <w:szCs w:val="28"/>
        </w:rPr>
      </w:pP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Методическое пособие для преподавателей </w:t>
      </w: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 проведению практического занятия</w:t>
      </w: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center"/>
        <w:rPr>
          <w:spacing w:val="0"/>
          <w:sz w:val="28"/>
          <w:szCs w:val="28"/>
        </w:rPr>
      </w:pPr>
    </w:p>
    <w:p w:rsidR="006A7442" w:rsidRDefault="006A7442" w:rsidP="008A2847">
      <w:pPr>
        <w:pStyle w:val="4"/>
        <w:shd w:val="clear" w:color="auto" w:fill="auto"/>
        <w:spacing w:line="360" w:lineRule="auto"/>
        <w:ind w:firstLine="0"/>
        <w:rPr>
          <w:spacing w:val="0"/>
          <w:sz w:val="28"/>
          <w:szCs w:val="28"/>
        </w:rPr>
      </w:pPr>
    </w:p>
    <w:p w:rsidR="008A2847" w:rsidRDefault="008A2847" w:rsidP="008A2847">
      <w:pPr>
        <w:pStyle w:val="4"/>
        <w:shd w:val="clear" w:color="auto" w:fill="auto"/>
        <w:spacing w:line="360" w:lineRule="auto"/>
        <w:ind w:firstLine="0"/>
        <w:rPr>
          <w:spacing w:val="0"/>
          <w:sz w:val="28"/>
          <w:szCs w:val="28"/>
        </w:rPr>
      </w:pP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center"/>
        <w:rPr>
          <w:spacing w:val="0"/>
          <w:sz w:val="28"/>
          <w:szCs w:val="28"/>
        </w:rPr>
      </w:pP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righ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Утверждено на заседании кафедры общей и коммунальной гигиены</w:t>
      </w: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righ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«_</w:t>
      </w:r>
      <w:proofErr w:type="gramStart"/>
      <w:r>
        <w:rPr>
          <w:spacing w:val="0"/>
          <w:sz w:val="28"/>
          <w:szCs w:val="28"/>
        </w:rPr>
        <w:t>_»_</w:t>
      </w:r>
      <w:proofErr w:type="gramEnd"/>
      <w:r>
        <w:rPr>
          <w:spacing w:val="0"/>
          <w:sz w:val="28"/>
          <w:szCs w:val="28"/>
        </w:rPr>
        <w:t>_______20</w:t>
      </w:r>
      <w:r w:rsidR="00307348">
        <w:rPr>
          <w:spacing w:val="0"/>
          <w:sz w:val="28"/>
          <w:szCs w:val="28"/>
        </w:rPr>
        <w:t>20</w:t>
      </w:r>
      <w:r>
        <w:rPr>
          <w:spacing w:val="0"/>
          <w:sz w:val="28"/>
          <w:szCs w:val="28"/>
        </w:rPr>
        <w:t>г</w:t>
      </w: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Оренбург, 20</w:t>
      </w:r>
      <w:r w:rsidR="00307348">
        <w:rPr>
          <w:spacing w:val="0"/>
          <w:sz w:val="28"/>
          <w:szCs w:val="28"/>
        </w:rPr>
        <w:t>20</w:t>
      </w:r>
    </w:p>
    <w:p w:rsidR="008A2847" w:rsidRDefault="008A2847" w:rsidP="006A7442">
      <w:pPr>
        <w:pStyle w:val="4"/>
        <w:shd w:val="clear" w:color="auto" w:fill="auto"/>
        <w:spacing w:line="360" w:lineRule="auto"/>
        <w:ind w:firstLine="0"/>
        <w:jc w:val="center"/>
        <w:rPr>
          <w:spacing w:val="0"/>
          <w:sz w:val="28"/>
          <w:szCs w:val="28"/>
        </w:rPr>
      </w:pPr>
    </w:p>
    <w:p w:rsidR="00307348" w:rsidRDefault="00307348" w:rsidP="006A7442">
      <w:pPr>
        <w:pStyle w:val="4"/>
        <w:shd w:val="clear" w:color="auto" w:fill="auto"/>
        <w:spacing w:line="360" w:lineRule="auto"/>
        <w:ind w:firstLine="0"/>
        <w:jc w:val="center"/>
        <w:rPr>
          <w:spacing w:val="0"/>
          <w:sz w:val="28"/>
          <w:szCs w:val="28"/>
        </w:rPr>
      </w:pP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center"/>
        <w:rPr>
          <w:bCs/>
          <w:color w:val="000000"/>
          <w:spacing w:val="0"/>
          <w:sz w:val="28"/>
          <w:szCs w:val="28"/>
          <w:shd w:val="clear" w:color="auto" w:fill="FFFFFF"/>
        </w:rPr>
      </w:pPr>
      <w:r>
        <w:rPr>
          <w:bCs/>
          <w:color w:val="000000"/>
          <w:spacing w:val="0"/>
          <w:sz w:val="28"/>
          <w:szCs w:val="28"/>
          <w:shd w:val="clear" w:color="auto" w:fill="FFFFFF"/>
        </w:rPr>
        <w:t xml:space="preserve">Практическое занятие № </w:t>
      </w:r>
      <w:r w:rsidR="00307348">
        <w:rPr>
          <w:bCs/>
          <w:color w:val="000000"/>
          <w:spacing w:val="0"/>
          <w:sz w:val="28"/>
          <w:szCs w:val="28"/>
          <w:shd w:val="clear" w:color="auto" w:fill="FFFFFF"/>
        </w:rPr>
        <w:t>3</w:t>
      </w:r>
    </w:p>
    <w:p w:rsidR="006A7442" w:rsidRDefault="006A7442" w:rsidP="00D556F5">
      <w:pPr>
        <w:pStyle w:val="4"/>
        <w:shd w:val="clear" w:color="auto" w:fill="auto"/>
        <w:spacing w:line="360" w:lineRule="auto"/>
        <w:ind w:firstLine="0"/>
        <w:jc w:val="both"/>
        <w:rPr>
          <w:bCs/>
          <w:color w:val="000000"/>
          <w:spacing w:val="0"/>
          <w:sz w:val="28"/>
          <w:szCs w:val="28"/>
          <w:shd w:val="clear" w:color="auto" w:fill="FFFFFF"/>
        </w:rPr>
      </w:pPr>
    </w:p>
    <w:p w:rsidR="006A7442" w:rsidRDefault="006A7442" w:rsidP="00D556F5">
      <w:pPr>
        <w:pStyle w:val="4"/>
        <w:shd w:val="clear" w:color="auto" w:fill="auto"/>
        <w:spacing w:line="360" w:lineRule="auto"/>
        <w:ind w:firstLine="0"/>
        <w:jc w:val="both"/>
        <w:rPr>
          <w:spacing w:val="0"/>
          <w:sz w:val="28"/>
          <w:szCs w:val="28"/>
        </w:rPr>
      </w:pPr>
      <w:r>
        <w:rPr>
          <w:bCs/>
          <w:color w:val="000000"/>
          <w:spacing w:val="0"/>
          <w:sz w:val="28"/>
          <w:szCs w:val="28"/>
          <w:shd w:val="clear" w:color="auto" w:fill="FFFFFF"/>
        </w:rPr>
        <w:t>1.Тема</w:t>
      </w:r>
      <w:r>
        <w:rPr>
          <w:spacing w:val="0"/>
          <w:sz w:val="28"/>
          <w:szCs w:val="28"/>
        </w:rPr>
        <w:t xml:space="preserve">: </w:t>
      </w:r>
      <w:r w:rsidR="009D4345" w:rsidRPr="009D4345">
        <w:rPr>
          <w:spacing w:val="0"/>
          <w:sz w:val="28"/>
          <w:szCs w:val="28"/>
        </w:rPr>
        <w:t>Гигиеническая оценка неканцерогенного риска. Оценка неканцерогенного риска на органы и системы.</w:t>
      </w:r>
    </w:p>
    <w:p w:rsidR="007A0CCF" w:rsidRPr="007A0CCF" w:rsidRDefault="006A7442" w:rsidP="00D556F5">
      <w:pPr>
        <w:pStyle w:val="4"/>
        <w:ind w:firstLine="709"/>
        <w:contextualSpacing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>2.</w:t>
      </w:r>
      <w:r w:rsidR="007A0CCF" w:rsidRPr="007A0CCF">
        <w:rPr>
          <w:sz w:val="28"/>
          <w:szCs w:val="28"/>
          <w:lang w:eastAsia="en-US"/>
        </w:rPr>
        <w:t xml:space="preserve"> </w:t>
      </w:r>
      <w:r w:rsidR="007A0CCF" w:rsidRPr="007A0CCF">
        <w:rPr>
          <w:sz w:val="28"/>
          <w:szCs w:val="28"/>
        </w:rPr>
        <w:t xml:space="preserve">2.Цель: формирование у студентов основных понятий и знаний </w:t>
      </w:r>
      <w:r w:rsidR="009D4345">
        <w:rPr>
          <w:sz w:val="28"/>
          <w:szCs w:val="28"/>
        </w:rPr>
        <w:t>по оценке неканцерогенного риска</w:t>
      </w:r>
    </w:p>
    <w:p w:rsidR="007A0CCF" w:rsidRPr="007A0CCF" w:rsidRDefault="007A0CCF" w:rsidP="00D556F5">
      <w:pPr>
        <w:pStyle w:val="4"/>
        <w:ind w:firstLine="709"/>
        <w:contextualSpacing/>
        <w:jc w:val="center"/>
        <w:rPr>
          <w:sz w:val="28"/>
          <w:szCs w:val="28"/>
        </w:rPr>
      </w:pPr>
      <w:r w:rsidRPr="007A0CCF">
        <w:rPr>
          <w:sz w:val="28"/>
          <w:szCs w:val="28"/>
        </w:rPr>
        <w:t>3.Задачи: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sz w:val="28"/>
          <w:szCs w:val="28"/>
        </w:rPr>
        <w:t xml:space="preserve">Обучающая: формировать у студентов понимание </w:t>
      </w:r>
      <w:r w:rsidR="009D4345">
        <w:rPr>
          <w:sz w:val="28"/>
          <w:szCs w:val="28"/>
        </w:rPr>
        <w:t>неканцерогенного риска</w:t>
      </w:r>
      <w:r w:rsidRPr="007A0CCF">
        <w:rPr>
          <w:sz w:val="28"/>
          <w:szCs w:val="28"/>
        </w:rPr>
        <w:t xml:space="preserve"> в системе социально-гигиенического мониторинга.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sz w:val="28"/>
          <w:szCs w:val="28"/>
        </w:rPr>
        <w:t xml:space="preserve">Развивающая: формировать у студентов потребности и мотивы профессионального становления и развития, необходимость проведения </w:t>
      </w:r>
      <w:r w:rsidR="009D4345">
        <w:rPr>
          <w:sz w:val="28"/>
          <w:szCs w:val="28"/>
        </w:rPr>
        <w:t>анализа и оценки неканцерогенного риска</w:t>
      </w:r>
      <w:r w:rsidRPr="007A0CCF">
        <w:rPr>
          <w:sz w:val="28"/>
          <w:szCs w:val="28"/>
        </w:rPr>
        <w:t>.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sz w:val="28"/>
          <w:szCs w:val="28"/>
        </w:rPr>
        <w:t>Воспитывающая: воспитывать стремление к повышению своего общекультурного, интеллектуального и профессионального уровня, интерес к социально-гигиеническому мониторингу как теоретической основе профессиональной деятельности, формировать ценностное отношение к профессии врача медико-профилактического дела и значимость владения гигиеническими знаниями для жизнедеятельности человека.</w:t>
      </w:r>
    </w:p>
    <w:p w:rsidR="007A0CCF" w:rsidRPr="007A0CCF" w:rsidRDefault="007A0CCF" w:rsidP="007A0CCF">
      <w:pPr>
        <w:pStyle w:val="4"/>
        <w:ind w:firstLine="709"/>
        <w:contextualSpacing/>
        <w:jc w:val="center"/>
        <w:rPr>
          <w:b/>
          <w:sz w:val="28"/>
          <w:szCs w:val="28"/>
        </w:rPr>
      </w:pPr>
      <w:r w:rsidRPr="007A0CCF">
        <w:rPr>
          <w:b/>
          <w:sz w:val="28"/>
          <w:szCs w:val="28"/>
        </w:rPr>
        <w:t>4.Вопросы для рассмотрения:</w:t>
      </w:r>
    </w:p>
    <w:p w:rsidR="005158F1" w:rsidRDefault="007A0CCF" w:rsidP="00204CEE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sz w:val="28"/>
          <w:szCs w:val="28"/>
        </w:rPr>
        <w:t>1.</w:t>
      </w:r>
      <w:r w:rsidR="005158F1" w:rsidRPr="005158F1">
        <w:t xml:space="preserve"> </w:t>
      </w:r>
      <w:r w:rsidR="005158F1" w:rsidRPr="005158F1">
        <w:rPr>
          <w:sz w:val="28"/>
          <w:szCs w:val="28"/>
        </w:rPr>
        <w:t>Параметры для оценки неканцерогенного риска</w:t>
      </w:r>
      <w:r w:rsidR="005158F1">
        <w:rPr>
          <w:sz w:val="28"/>
          <w:szCs w:val="28"/>
        </w:rPr>
        <w:t>.</w:t>
      </w:r>
    </w:p>
    <w:p w:rsidR="005158F1" w:rsidRDefault="005158F1" w:rsidP="00204CEE">
      <w:pPr>
        <w:pStyle w:val="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158F1">
        <w:rPr>
          <w:sz w:val="28"/>
          <w:szCs w:val="28"/>
        </w:rPr>
        <w:t>Применение референтных уровней воздействия</w:t>
      </w:r>
      <w:r>
        <w:rPr>
          <w:sz w:val="28"/>
          <w:szCs w:val="28"/>
        </w:rPr>
        <w:t>.</w:t>
      </w:r>
    </w:p>
    <w:p w:rsidR="005158F1" w:rsidRDefault="005158F1" w:rsidP="00204CEE">
      <w:pPr>
        <w:pStyle w:val="4"/>
        <w:ind w:firstLine="709"/>
        <w:contextualSpacing/>
        <w:jc w:val="both"/>
        <w:rPr>
          <w:sz w:val="28"/>
          <w:szCs w:val="28"/>
        </w:rPr>
      </w:pPr>
      <w:r>
        <w:t>3.</w:t>
      </w:r>
      <w:r w:rsidR="00204CEE" w:rsidRPr="00204CEE">
        <w:t xml:space="preserve"> </w:t>
      </w:r>
      <w:r w:rsidR="00204CEE" w:rsidRPr="00204CEE">
        <w:rPr>
          <w:sz w:val="28"/>
          <w:szCs w:val="28"/>
        </w:rPr>
        <w:t>Оценка риска неканцерогенных эффектов</w:t>
      </w:r>
      <w:r w:rsidR="00204CEE">
        <w:rPr>
          <w:sz w:val="28"/>
          <w:szCs w:val="28"/>
        </w:rPr>
        <w:t xml:space="preserve"> </w:t>
      </w:r>
      <w:proofErr w:type="gramStart"/>
      <w:r w:rsidR="00204CEE">
        <w:rPr>
          <w:sz w:val="28"/>
          <w:szCs w:val="28"/>
        </w:rPr>
        <w:t>при хронической воздействии</w:t>
      </w:r>
      <w:proofErr w:type="gramEnd"/>
      <w:r w:rsidR="00204CEE">
        <w:rPr>
          <w:sz w:val="28"/>
          <w:szCs w:val="28"/>
        </w:rPr>
        <w:t xml:space="preserve"> веществ.</w:t>
      </w:r>
      <w:r w:rsidR="00204CEE" w:rsidRPr="00204CEE">
        <w:rPr>
          <w:sz w:val="28"/>
          <w:szCs w:val="28"/>
        </w:rPr>
        <w:t xml:space="preserve"> </w:t>
      </w:r>
    </w:p>
    <w:p w:rsidR="00204CEE" w:rsidRDefault="005158F1" w:rsidP="00204CEE">
      <w:pPr>
        <w:pStyle w:val="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04CEE">
        <w:rPr>
          <w:sz w:val="28"/>
          <w:szCs w:val="28"/>
        </w:rPr>
        <w:t>Оценка</w:t>
      </w:r>
      <w:r w:rsidR="00204CEE" w:rsidRPr="00204CEE">
        <w:rPr>
          <w:sz w:val="28"/>
          <w:szCs w:val="28"/>
        </w:rPr>
        <w:t xml:space="preserve"> учетом критических органов и систем.</w:t>
      </w:r>
    </w:p>
    <w:p w:rsidR="005158F1" w:rsidRPr="00204CEE" w:rsidRDefault="005158F1" w:rsidP="00204CEE">
      <w:pPr>
        <w:pStyle w:val="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158F1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 xml:space="preserve">неканцерогенного </w:t>
      </w:r>
      <w:r w:rsidRPr="005158F1">
        <w:rPr>
          <w:sz w:val="28"/>
          <w:szCs w:val="28"/>
        </w:rPr>
        <w:t xml:space="preserve">риска при </w:t>
      </w:r>
      <w:proofErr w:type="spellStart"/>
      <w:r w:rsidRPr="005158F1">
        <w:rPr>
          <w:sz w:val="28"/>
          <w:szCs w:val="28"/>
        </w:rPr>
        <w:t>многосредовых</w:t>
      </w:r>
      <w:proofErr w:type="spellEnd"/>
      <w:r w:rsidRPr="005158F1">
        <w:rPr>
          <w:sz w:val="28"/>
          <w:szCs w:val="28"/>
        </w:rPr>
        <w:t>, комбинированных и комплексных воздействиях</w:t>
      </w:r>
    </w:p>
    <w:p w:rsidR="007A0CCF" w:rsidRDefault="005158F1" w:rsidP="00204CEE">
      <w:pPr>
        <w:pStyle w:val="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04CEE" w:rsidRPr="00204CEE">
        <w:rPr>
          <w:sz w:val="28"/>
          <w:szCs w:val="28"/>
        </w:rPr>
        <w:t>Оценка неопределенностей</w:t>
      </w:r>
    </w:p>
    <w:p w:rsidR="00B92E91" w:rsidRDefault="00B92E91" w:rsidP="007A0CCF">
      <w:pPr>
        <w:pStyle w:val="4"/>
        <w:ind w:firstLine="709"/>
        <w:contextualSpacing/>
        <w:jc w:val="both"/>
        <w:rPr>
          <w:sz w:val="28"/>
          <w:szCs w:val="28"/>
        </w:rPr>
      </w:pPr>
    </w:p>
    <w:p w:rsidR="005158F1" w:rsidRDefault="005158F1" w:rsidP="007A0CCF">
      <w:pPr>
        <w:pStyle w:val="4"/>
        <w:ind w:firstLine="709"/>
        <w:contextualSpacing/>
        <w:jc w:val="both"/>
        <w:rPr>
          <w:sz w:val="28"/>
          <w:szCs w:val="28"/>
        </w:rPr>
      </w:pPr>
    </w:p>
    <w:p w:rsidR="00B92E91" w:rsidRDefault="00B92E91" w:rsidP="007A0CCF">
      <w:pPr>
        <w:pStyle w:val="4"/>
        <w:ind w:firstLine="709"/>
        <w:contextualSpacing/>
        <w:jc w:val="both"/>
        <w:rPr>
          <w:sz w:val="28"/>
          <w:szCs w:val="28"/>
        </w:rPr>
      </w:pPr>
    </w:p>
    <w:p w:rsidR="00B92E91" w:rsidRDefault="00B92E91" w:rsidP="007A0CCF">
      <w:pPr>
        <w:pStyle w:val="4"/>
        <w:ind w:firstLine="709"/>
        <w:contextualSpacing/>
        <w:jc w:val="both"/>
        <w:rPr>
          <w:sz w:val="28"/>
          <w:szCs w:val="28"/>
        </w:rPr>
      </w:pPr>
    </w:p>
    <w:p w:rsidR="00B92E91" w:rsidRPr="007A0CCF" w:rsidRDefault="00B92E91" w:rsidP="007A0CCF">
      <w:pPr>
        <w:pStyle w:val="4"/>
        <w:ind w:firstLine="709"/>
        <w:contextualSpacing/>
        <w:jc w:val="both"/>
        <w:rPr>
          <w:sz w:val="28"/>
          <w:szCs w:val="28"/>
        </w:rPr>
      </w:pPr>
    </w:p>
    <w:p w:rsidR="007A0CCF" w:rsidRPr="00D556F5" w:rsidRDefault="007A0CCF" w:rsidP="00D556F5">
      <w:pPr>
        <w:pStyle w:val="4"/>
        <w:ind w:firstLine="709"/>
        <w:contextualSpacing/>
        <w:jc w:val="center"/>
        <w:rPr>
          <w:b/>
          <w:sz w:val="28"/>
          <w:szCs w:val="28"/>
        </w:rPr>
      </w:pPr>
      <w:r w:rsidRPr="00D556F5">
        <w:rPr>
          <w:b/>
          <w:sz w:val="28"/>
          <w:szCs w:val="28"/>
        </w:rPr>
        <w:lastRenderedPageBreak/>
        <w:t>5. Основные понятия темы:</w:t>
      </w:r>
    </w:p>
    <w:p w:rsidR="005158F1" w:rsidRPr="005158F1" w:rsidRDefault="005158F1" w:rsidP="005158F1">
      <w:pPr>
        <w:pStyle w:val="4"/>
        <w:ind w:firstLine="709"/>
        <w:contextualSpacing/>
        <w:jc w:val="both"/>
        <w:rPr>
          <w:sz w:val="28"/>
          <w:szCs w:val="28"/>
        </w:rPr>
      </w:pPr>
      <w:r w:rsidRPr="005158F1">
        <w:rPr>
          <w:sz w:val="28"/>
          <w:szCs w:val="28"/>
        </w:rPr>
        <w:t>Параметры для оценки неканцерогенного риска</w:t>
      </w:r>
    </w:p>
    <w:p w:rsidR="005158F1" w:rsidRPr="005158F1" w:rsidRDefault="005158F1" w:rsidP="005158F1">
      <w:pPr>
        <w:pStyle w:val="4"/>
        <w:ind w:firstLine="709"/>
        <w:contextualSpacing/>
        <w:jc w:val="both"/>
        <w:rPr>
          <w:sz w:val="28"/>
          <w:szCs w:val="28"/>
        </w:rPr>
      </w:pPr>
    </w:p>
    <w:p w:rsidR="005158F1" w:rsidRPr="005158F1" w:rsidRDefault="005158F1" w:rsidP="005158F1">
      <w:pPr>
        <w:pStyle w:val="4"/>
        <w:ind w:firstLine="709"/>
        <w:contextualSpacing/>
        <w:jc w:val="both"/>
        <w:rPr>
          <w:sz w:val="28"/>
          <w:szCs w:val="28"/>
        </w:rPr>
      </w:pPr>
      <w:r w:rsidRPr="005158F1">
        <w:rPr>
          <w:sz w:val="28"/>
          <w:szCs w:val="28"/>
        </w:rPr>
        <w:t>В методологии оценки риска в качестве параметров для оценки неканцерогенного риска используются референтные уровни воздействия (референтные дозы и концентрации), а также параметры зависимости "концентрация-ответ", полученные в эпидемиологических исследованиях.</w:t>
      </w:r>
    </w:p>
    <w:p w:rsidR="005158F1" w:rsidRPr="005158F1" w:rsidRDefault="005158F1" w:rsidP="005158F1">
      <w:pPr>
        <w:pStyle w:val="4"/>
        <w:ind w:firstLine="709"/>
        <w:contextualSpacing/>
        <w:jc w:val="both"/>
        <w:rPr>
          <w:sz w:val="28"/>
          <w:szCs w:val="28"/>
        </w:rPr>
      </w:pPr>
      <w:r w:rsidRPr="005158F1">
        <w:rPr>
          <w:sz w:val="28"/>
          <w:szCs w:val="28"/>
        </w:rPr>
        <w:t>При оценке риска развития неканцерогенных эффектов, как правило, исходят из предположения о наличии порога вредного действия, ниже которого вредные эффекты не развиваются. Однако для отдельных загрязнений окружающей среды наличие данного порога не доказано (например, взвешенные вещества).</w:t>
      </w:r>
    </w:p>
    <w:p w:rsidR="005158F1" w:rsidRPr="005158F1" w:rsidRDefault="005158F1" w:rsidP="005158F1">
      <w:pPr>
        <w:pStyle w:val="4"/>
        <w:ind w:firstLine="709"/>
        <w:contextualSpacing/>
        <w:jc w:val="both"/>
        <w:rPr>
          <w:sz w:val="28"/>
          <w:szCs w:val="28"/>
        </w:rPr>
      </w:pPr>
      <w:r w:rsidRPr="005158F1">
        <w:rPr>
          <w:sz w:val="28"/>
          <w:szCs w:val="28"/>
        </w:rPr>
        <w:t>Критерии установления пороговых доз/концентраций приведены в отечественных методических указаниях по установлению предельно допустимых концентраций химических веществ в различных объектах окружающей среды, а также в зарубежных руководствах.</w:t>
      </w:r>
    </w:p>
    <w:p w:rsidR="005158F1" w:rsidRPr="005158F1" w:rsidRDefault="005158F1" w:rsidP="005158F1">
      <w:pPr>
        <w:pStyle w:val="4"/>
        <w:ind w:firstLine="709"/>
        <w:contextualSpacing/>
        <w:jc w:val="both"/>
        <w:rPr>
          <w:sz w:val="28"/>
          <w:szCs w:val="28"/>
        </w:rPr>
      </w:pPr>
      <w:r w:rsidRPr="005158F1">
        <w:rPr>
          <w:sz w:val="28"/>
          <w:szCs w:val="28"/>
        </w:rPr>
        <w:t>Принцип установления референтных уровней воздействия представлен на рис. 5.1.</w:t>
      </w:r>
    </w:p>
    <w:p w:rsidR="005158F1" w:rsidRPr="005158F1" w:rsidRDefault="005158F1" w:rsidP="005158F1">
      <w:pPr>
        <w:pStyle w:val="4"/>
        <w:ind w:firstLine="709"/>
        <w:contextualSpacing/>
        <w:jc w:val="both"/>
        <w:rPr>
          <w:sz w:val="28"/>
          <w:szCs w:val="28"/>
        </w:rPr>
      </w:pPr>
      <w:r w:rsidRPr="005158F1">
        <w:rPr>
          <w:sz w:val="28"/>
          <w:szCs w:val="28"/>
        </w:rPr>
        <w:t xml:space="preserve">При отсутствии </w:t>
      </w:r>
      <w:proofErr w:type="spellStart"/>
      <w:r w:rsidRPr="005158F1">
        <w:rPr>
          <w:sz w:val="28"/>
          <w:szCs w:val="28"/>
        </w:rPr>
        <w:t>референтной</w:t>
      </w:r>
      <w:proofErr w:type="spellEnd"/>
      <w:r w:rsidRPr="005158F1">
        <w:rPr>
          <w:sz w:val="28"/>
          <w:szCs w:val="28"/>
        </w:rPr>
        <w:t xml:space="preserve"> концентрации в качестве ее эквивалента возможно применение предельно допустимых концентраций (ПДК) или максимальных недействующих доз (МНД) и концентраций (МНК), установленных по прямым эффектам на здоровье: в воде водоемов - по санитарно-токсикологическому признаку вредности, в атмосферном воздухе населенных мест - по резорбтивным и рефлекторно-резорбтивным эффектам.</w:t>
      </w:r>
    </w:p>
    <w:p w:rsidR="005158F1" w:rsidRPr="005158F1" w:rsidRDefault="005158F1" w:rsidP="005158F1">
      <w:pPr>
        <w:pStyle w:val="4"/>
        <w:ind w:firstLine="709"/>
        <w:contextualSpacing/>
        <w:jc w:val="both"/>
        <w:rPr>
          <w:sz w:val="28"/>
          <w:szCs w:val="28"/>
        </w:rPr>
      </w:pPr>
      <w:r w:rsidRPr="005158F1">
        <w:rPr>
          <w:sz w:val="28"/>
          <w:szCs w:val="28"/>
        </w:rPr>
        <w:t>При оценке зависимости "доза (концентрация)-ответ" приоритет имеют результаты, полученные путем эпидемиологических и клинических наблюдений.</w:t>
      </w:r>
    </w:p>
    <w:p w:rsidR="005158F1" w:rsidRPr="005158F1" w:rsidRDefault="005158F1" w:rsidP="005158F1">
      <w:pPr>
        <w:pStyle w:val="4"/>
        <w:ind w:firstLine="709"/>
        <w:contextualSpacing/>
        <w:jc w:val="both"/>
        <w:rPr>
          <w:sz w:val="28"/>
          <w:szCs w:val="28"/>
        </w:rPr>
      </w:pPr>
      <w:r w:rsidRPr="005158F1">
        <w:rPr>
          <w:sz w:val="28"/>
          <w:szCs w:val="28"/>
        </w:rPr>
        <w:t>Различают четыре вида оценки эффекта: добавочный (атрибутивный) риск, относительный риск, добавочный популяционный риск, добавочная доля популяционного риска. При анализе результатов исследований "случай-контроль" используют показатель отношения шансов.</w:t>
      </w:r>
    </w:p>
    <w:p w:rsidR="005158F1" w:rsidRPr="005158F1" w:rsidRDefault="005158F1" w:rsidP="005158F1">
      <w:pPr>
        <w:pStyle w:val="4"/>
        <w:ind w:firstLine="709"/>
        <w:contextualSpacing/>
        <w:jc w:val="both"/>
        <w:rPr>
          <w:sz w:val="28"/>
          <w:szCs w:val="28"/>
        </w:rPr>
      </w:pPr>
      <w:r w:rsidRPr="005158F1">
        <w:rPr>
          <w:sz w:val="28"/>
          <w:szCs w:val="28"/>
        </w:rPr>
        <w:t xml:space="preserve">Относительный риск (RR) представляет собой отношение риска возникновения какого-либо заболевания у лиц, подвергавшихся воздействию изучаемого фактора, к риску заболевания у лиц, не </w:t>
      </w:r>
      <w:r w:rsidRPr="005158F1">
        <w:rPr>
          <w:sz w:val="28"/>
          <w:szCs w:val="28"/>
        </w:rPr>
        <w:lastRenderedPageBreak/>
        <w:t>подвергавшихся этому воздействию. Относительный риск, близкий к единице, свидетельствует об отсутствии влияния исследуемого фактора на развитие заболевания. Чем больше величина риска превышает единицу, тем более сильное влияние данный фактор оказывает на риск возникновения нарушений состояния здоровья.</w:t>
      </w:r>
    </w:p>
    <w:p w:rsidR="005158F1" w:rsidRPr="005158F1" w:rsidRDefault="005158F1" w:rsidP="005158F1">
      <w:pPr>
        <w:pStyle w:val="4"/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52E0031" wp14:editId="00CA56BC">
            <wp:simplePos x="0" y="0"/>
            <wp:positionH relativeFrom="column">
              <wp:posOffset>-4445</wp:posOffset>
            </wp:positionH>
            <wp:positionV relativeFrom="paragraph">
              <wp:posOffset>521335</wp:posOffset>
            </wp:positionV>
            <wp:extent cx="5953125" cy="328612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28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58F1">
        <w:rPr>
          <w:sz w:val="28"/>
          <w:szCs w:val="28"/>
        </w:rPr>
        <w:t xml:space="preserve"> </w:t>
      </w:r>
    </w:p>
    <w:p w:rsidR="005158F1" w:rsidRPr="005158F1" w:rsidRDefault="005158F1" w:rsidP="005158F1">
      <w:pPr>
        <w:pStyle w:val="4"/>
        <w:ind w:firstLine="709"/>
        <w:contextualSpacing/>
        <w:jc w:val="both"/>
        <w:rPr>
          <w:sz w:val="28"/>
          <w:szCs w:val="28"/>
        </w:rPr>
      </w:pPr>
    </w:p>
    <w:p w:rsidR="005158F1" w:rsidRPr="005158F1" w:rsidRDefault="005158F1" w:rsidP="005158F1">
      <w:pPr>
        <w:pStyle w:val="4"/>
        <w:ind w:firstLine="709"/>
        <w:contextualSpacing/>
        <w:jc w:val="both"/>
        <w:rPr>
          <w:sz w:val="28"/>
          <w:szCs w:val="28"/>
        </w:rPr>
      </w:pPr>
      <w:r w:rsidRPr="005158F1">
        <w:rPr>
          <w:sz w:val="28"/>
          <w:szCs w:val="28"/>
        </w:rPr>
        <w:t>"Рис. 5.1. Установление референтного уровня воздействия на основе пороговой или недействующей дозы"</w:t>
      </w:r>
    </w:p>
    <w:p w:rsidR="005158F1" w:rsidRPr="005158F1" w:rsidRDefault="005158F1" w:rsidP="005158F1">
      <w:pPr>
        <w:pStyle w:val="4"/>
        <w:ind w:firstLine="709"/>
        <w:contextualSpacing/>
        <w:jc w:val="both"/>
        <w:rPr>
          <w:sz w:val="28"/>
          <w:szCs w:val="28"/>
        </w:rPr>
      </w:pPr>
    </w:p>
    <w:p w:rsidR="005158F1" w:rsidRPr="005158F1" w:rsidRDefault="005158F1" w:rsidP="003257D0">
      <w:pPr>
        <w:pStyle w:val="4"/>
        <w:ind w:firstLine="709"/>
        <w:contextualSpacing/>
        <w:jc w:val="both"/>
        <w:rPr>
          <w:sz w:val="28"/>
          <w:szCs w:val="28"/>
        </w:rPr>
      </w:pPr>
      <w:r w:rsidRPr="005158F1">
        <w:rPr>
          <w:sz w:val="28"/>
          <w:szCs w:val="28"/>
        </w:rPr>
        <w:t>Атрибутивный (добавочный) риск (AR) определяет долю риска, обусловленного воздействием изучаемых факторов окружающей среды, и представляет собой вероятность развития заболевания или другого нарушения здоровья (в % от общего числа этих заболеваний или нарушений здоровья на данной территории), связанную с исследуемым фактором. Если допустить, что исходная заболеваемость связана с другими причинами, то добавочный риск - это дополнительные случаи развития заболевания, обусловленные воздействием фактора риска.</w:t>
      </w:r>
    </w:p>
    <w:p w:rsidR="005158F1" w:rsidRPr="005158F1" w:rsidRDefault="005158F1" w:rsidP="005158F1">
      <w:pPr>
        <w:pStyle w:val="4"/>
        <w:ind w:firstLine="709"/>
        <w:contextualSpacing/>
        <w:jc w:val="both"/>
        <w:rPr>
          <w:sz w:val="28"/>
          <w:szCs w:val="28"/>
        </w:rPr>
      </w:pPr>
      <w:r w:rsidRPr="005158F1">
        <w:rPr>
          <w:sz w:val="28"/>
          <w:szCs w:val="28"/>
        </w:rPr>
        <w:t xml:space="preserve">Для построения моделей "доза (концентрация)-ответ" наиболее часто используются показатели относительного риска или отношения шансов. Вид модели определяется видом и задачами эпидемиологического </w:t>
      </w:r>
      <w:r w:rsidRPr="005158F1">
        <w:rPr>
          <w:sz w:val="28"/>
          <w:szCs w:val="28"/>
        </w:rPr>
        <w:lastRenderedPageBreak/>
        <w:t xml:space="preserve">исследования, но в большинстве случаев в качестве такой модели выбирается </w:t>
      </w:r>
      <w:proofErr w:type="spellStart"/>
      <w:r w:rsidRPr="005158F1">
        <w:rPr>
          <w:sz w:val="28"/>
          <w:szCs w:val="28"/>
        </w:rPr>
        <w:t>логит</w:t>
      </w:r>
      <w:proofErr w:type="spellEnd"/>
      <w:r w:rsidRPr="005158F1">
        <w:rPr>
          <w:sz w:val="28"/>
          <w:szCs w:val="28"/>
        </w:rPr>
        <w:t>-модель.</w:t>
      </w:r>
    </w:p>
    <w:p w:rsidR="005158F1" w:rsidRPr="005158F1" w:rsidRDefault="005158F1" w:rsidP="005158F1">
      <w:pPr>
        <w:pStyle w:val="4"/>
        <w:ind w:firstLine="709"/>
        <w:contextualSpacing/>
        <w:jc w:val="both"/>
        <w:rPr>
          <w:sz w:val="28"/>
          <w:szCs w:val="28"/>
        </w:rPr>
      </w:pPr>
      <w:r w:rsidRPr="005158F1">
        <w:rPr>
          <w:sz w:val="28"/>
          <w:szCs w:val="28"/>
        </w:rPr>
        <w:t>Для простоты расчетов риска зависимости концентрация-ответ нередко характеризуют в виде прироста относительного риска или в виде относительного изменения анализируемого показателя здоровья (например, в %) при возрастании концентрации химического соединения на 10 мкг/м3.</w:t>
      </w:r>
    </w:p>
    <w:p w:rsidR="005158F1" w:rsidRPr="005158F1" w:rsidRDefault="005158F1" w:rsidP="005158F1">
      <w:pPr>
        <w:pStyle w:val="4"/>
        <w:ind w:firstLine="709"/>
        <w:contextualSpacing/>
        <w:jc w:val="both"/>
        <w:rPr>
          <w:sz w:val="28"/>
          <w:szCs w:val="28"/>
        </w:rPr>
      </w:pPr>
      <w:r w:rsidRPr="005158F1">
        <w:rPr>
          <w:sz w:val="28"/>
          <w:szCs w:val="28"/>
        </w:rPr>
        <w:t>Параметры для расчета риска, полученные в эпидемиологических исследованиях, могут также представляться в виде единичного эпидемиологического риска - риска на 1 мкг/м3.</w:t>
      </w:r>
    </w:p>
    <w:p w:rsidR="005158F1" w:rsidRPr="005158F1" w:rsidRDefault="005158F1" w:rsidP="005158F1">
      <w:pPr>
        <w:pStyle w:val="4"/>
        <w:ind w:firstLine="709"/>
        <w:contextualSpacing/>
        <w:jc w:val="both"/>
        <w:rPr>
          <w:sz w:val="28"/>
          <w:szCs w:val="28"/>
        </w:rPr>
      </w:pPr>
      <w:r w:rsidRPr="005158F1">
        <w:rPr>
          <w:sz w:val="28"/>
          <w:szCs w:val="28"/>
        </w:rPr>
        <w:t xml:space="preserve">Показатели, полученные в эпидемиологических исследованиях, дают возможность оценки риска по широкому спектру нарушений состояния здоровья человека </w:t>
      </w:r>
    </w:p>
    <w:p w:rsidR="007A0CCF" w:rsidRPr="003257D0" w:rsidRDefault="005158F1" w:rsidP="005158F1">
      <w:pPr>
        <w:pStyle w:val="4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158F1">
        <w:rPr>
          <w:sz w:val="28"/>
          <w:szCs w:val="28"/>
        </w:rPr>
        <w:t xml:space="preserve">При выборе параметров зависимости "концентрация-ответ", полученных в эпидемиологических исследованиях, приоритет следует отдавать показателям, рекомендуемым международными или правительственными организациями и издаваемым в установленном порядке Министерством здравоохранения и социального развития </w:t>
      </w:r>
      <w:r w:rsidRPr="003257D0">
        <w:rPr>
          <w:color w:val="000000" w:themeColor="text1"/>
          <w:sz w:val="28"/>
          <w:szCs w:val="28"/>
        </w:rPr>
        <w:t>Российской Федерации</w:t>
      </w:r>
      <w:r w:rsidRPr="003257D0">
        <w:rPr>
          <w:color w:val="000000" w:themeColor="text1"/>
          <w:sz w:val="28"/>
          <w:szCs w:val="28"/>
        </w:rPr>
        <w:t>.</w:t>
      </w:r>
    </w:p>
    <w:p w:rsidR="003257D0" w:rsidRDefault="003257D0" w:rsidP="003257D0">
      <w:pPr>
        <w:pStyle w:val="1"/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3257D0" w:rsidRPr="003257D0" w:rsidRDefault="003257D0" w:rsidP="003257D0">
      <w:pPr>
        <w:pStyle w:val="1"/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3257D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Оценка риска неканцерогенных эффектов при острых и хронических воздействиях</w:t>
      </w:r>
    </w:p>
    <w:p w:rsidR="003257D0" w:rsidRPr="003257D0" w:rsidRDefault="003257D0" w:rsidP="003257D0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Start w:id="0" w:name="sub_731"/>
    <w:p w:rsidR="003257D0" w:rsidRPr="003257D0" w:rsidRDefault="003257D0" w:rsidP="003257D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7D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3257D0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\l "sub_31054" </w:instrText>
      </w:r>
      <w:r w:rsidRPr="003257D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3257D0">
        <w:rPr>
          <w:rStyle w:val="af0"/>
          <w:rFonts w:ascii="Times New Roman" w:hAnsi="Times New Roman" w:cs="Times New Roman"/>
          <w:b w:val="0"/>
          <w:color w:val="000000" w:themeColor="text1"/>
          <w:sz w:val="28"/>
          <w:szCs w:val="28"/>
        </w:rPr>
        <w:t>Характеристика риска</w:t>
      </w:r>
      <w:r w:rsidRPr="003257D0">
        <w:rPr>
          <w:rStyle w:val="af0"/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end"/>
      </w:r>
      <w:r w:rsidRPr="00325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неканцерогенных эффектов осуществляется либо путем сравнения фактических уровней экспозиции с безопасными уровнями воздействия (индекс/</w:t>
      </w:r>
      <w:hyperlink w:anchor="sub_31022" w:history="1">
        <w:r w:rsidRPr="003257D0">
          <w:rPr>
            <w:rStyle w:val="af0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коэффициент опасности</w:t>
        </w:r>
      </w:hyperlink>
      <w:r w:rsidRPr="003257D0">
        <w:rPr>
          <w:rFonts w:ascii="Times New Roman" w:hAnsi="Times New Roman" w:cs="Times New Roman"/>
          <w:color w:val="000000" w:themeColor="text1"/>
          <w:sz w:val="28"/>
          <w:szCs w:val="28"/>
        </w:rPr>
        <w:t>), либо на основе параметров зависимости "концентрация-ответ", полученных в эпидемиологических исследованиях.</w:t>
      </w:r>
    </w:p>
    <w:p w:rsidR="003257D0" w:rsidRPr="003257D0" w:rsidRDefault="003257D0" w:rsidP="003257D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732"/>
      <w:bookmarkEnd w:id="0"/>
      <w:r w:rsidRPr="003257D0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 риска развития неканцерогенных эффектов для отдельных веществ проводится на основе расчета коэффициента опасности по формуле 7.5:</w:t>
      </w:r>
    </w:p>
    <w:bookmarkEnd w:id="1"/>
    <w:p w:rsidR="003257D0" w:rsidRPr="003257D0" w:rsidRDefault="003257D0" w:rsidP="003257D0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7D0" w:rsidRPr="003257D0" w:rsidRDefault="003257D0" w:rsidP="003257D0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257D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             </w:t>
      </w:r>
      <w:r w:rsidRPr="003257D0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t xml:space="preserve">HQ = AD/RfD </w:t>
      </w:r>
      <w:r w:rsidRPr="003257D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или</w:t>
      </w:r>
      <w:r w:rsidRPr="003257D0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t xml:space="preserve"> HQ = AC/RfC, </w:t>
      </w:r>
      <w:r w:rsidRPr="003257D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где</w:t>
      </w:r>
      <w:r w:rsidRPr="003257D0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t xml:space="preserve">                  (7.5)</w:t>
      </w:r>
    </w:p>
    <w:p w:rsidR="003257D0" w:rsidRPr="003257D0" w:rsidRDefault="003257D0" w:rsidP="003257D0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257D0" w:rsidRPr="003257D0" w:rsidRDefault="003257D0" w:rsidP="003257D0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7D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HQ  - </w:t>
      </w:r>
      <w:hyperlink w:anchor="sub_31022" w:history="1">
        <w:r w:rsidRPr="003257D0">
          <w:rPr>
            <w:rStyle w:val="af0"/>
            <w:rFonts w:ascii="Times New Roman" w:hAnsi="Times New Roman" w:cs="Times New Roman"/>
            <w:b w:val="0"/>
            <w:noProof/>
            <w:color w:val="000000" w:themeColor="text1"/>
            <w:sz w:val="28"/>
            <w:szCs w:val="28"/>
          </w:rPr>
          <w:t>коэффициент опасности</w:t>
        </w:r>
      </w:hyperlink>
      <w:r w:rsidRPr="003257D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;</w:t>
      </w:r>
    </w:p>
    <w:p w:rsidR="003257D0" w:rsidRPr="003257D0" w:rsidRDefault="003257D0" w:rsidP="003257D0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7D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AD  - средняя доза, мг/кг;</w:t>
      </w:r>
    </w:p>
    <w:p w:rsidR="003257D0" w:rsidRPr="003257D0" w:rsidRDefault="003257D0" w:rsidP="003257D0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7D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АС  - средняя концентрация, мг/м3;</w:t>
      </w:r>
    </w:p>
    <w:p w:rsidR="003257D0" w:rsidRPr="003257D0" w:rsidRDefault="003257D0" w:rsidP="003257D0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7D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RfD - референтная (безопасная) доза, мг/кг;</w:t>
      </w:r>
    </w:p>
    <w:p w:rsidR="003257D0" w:rsidRPr="003257D0" w:rsidRDefault="003257D0" w:rsidP="003257D0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7D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>RfC - референтная (безопасная) концентрация, мг/м3.</w:t>
      </w:r>
    </w:p>
    <w:p w:rsidR="003257D0" w:rsidRPr="003257D0" w:rsidRDefault="003257D0" w:rsidP="003257D0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7D0" w:rsidRPr="003257D0" w:rsidRDefault="003257D0" w:rsidP="003257D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733"/>
      <w:r w:rsidRPr="003257D0">
        <w:rPr>
          <w:rFonts w:ascii="Times New Roman" w:hAnsi="Times New Roman" w:cs="Times New Roman"/>
          <w:color w:val="000000" w:themeColor="text1"/>
          <w:sz w:val="28"/>
          <w:szCs w:val="28"/>
        </w:rPr>
        <w:t>Коэффициент опасности рассчитывается раздельно для условий кратковременных (острых), подострых и длительных воздействий химических веществ. При этом период усреднения экспозиций и соответствующих безопасных уровней воздействия должен быть аналогичным.</w:t>
      </w:r>
    </w:p>
    <w:p w:rsidR="003257D0" w:rsidRPr="003257D0" w:rsidRDefault="003257D0" w:rsidP="003257D0">
      <w:pPr>
        <w:pStyle w:val="1"/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bookmarkStart w:id="3" w:name="sub_740"/>
      <w:bookmarkEnd w:id="2"/>
      <w:r w:rsidRPr="003257D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Оценка риска при </w:t>
      </w:r>
      <w:proofErr w:type="spellStart"/>
      <w:r w:rsidRPr="003257D0">
        <w:rPr>
          <w:rFonts w:ascii="Times New Roman" w:hAnsi="Times New Roman"/>
          <w:b w:val="0"/>
          <w:color w:val="000000" w:themeColor="text1"/>
          <w:sz w:val="28"/>
          <w:szCs w:val="28"/>
        </w:rPr>
        <w:t>многосредовых</w:t>
      </w:r>
      <w:proofErr w:type="spellEnd"/>
      <w:r w:rsidRPr="003257D0">
        <w:rPr>
          <w:rFonts w:ascii="Times New Roman" w:hAnsi="Times New Roman"/>
          <w:b w:val="0"/>
          <w:color w:val="000000" w:themeColor="text1"/>
          <w:sz w:val="28"/>
          <w:szCs w:val="28"/>
        </w:rPr>
        <w:t>, комбинированных и комплексных воздействиях</w:t>
      </w:r>
    </w:p>
    <w:bookmarkEnd w:id="3"/>
    <w:p w:rsidR="003257D0" w:rsidRPr="003257D0" w:rsidRDefault="003257D0" w:rsidP="003257D0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7D0" w:rsidRPr="003257D0" w:rsidRDefault="003257D0" w:rsidP="003257D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741"/>
      <w:r w:rsidRPr="00325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Характеристика риска развития неканцерогенных эффектов при комбинированном и комплексном воздействии химических соединений проводится на основе расчета </w:t>
      </w:r>
      <w:hyperlink w:anchor="sub_31016" w:history="1">
        <w:r w:rsidRPr="003257D0">
          <w:rPr>
            <w:rStyle w:val="af0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индекса опасности</w:t>
        </w:r>
      </w:hyperlink>
      <w:r w:rsidRPr="00325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(HI).</w:t>
      </w:r>
    </w:p>
    <w:p w:rsidR="003257D0" w:rsidRPr="003257D0" w:rsidRDefault="003257D0" w:rsidP="003257D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742"/>
      <w:bookmarkEnd w:id="4"/>
      <w:r w:rsidRPr="003257D0">
        <w:rPr>
          <w:rFonts w:ascii="Times New Roman" w:hAnsi="Times New Roman" w:cs="Times New Roman"/>
          <w:color w:val="000000" w:themeColor="text1"/>
          <w:sz w:val="28"/>
          <w:szCs w:val="28"/>
        </w:rPr>
        <w:t>Индекс опасности для условий одновременного поступления нескольких веществ одним и тем же путем (например, ингаляционным или пероральным) рассчитывается по формуле 7.6:</w:t>
      </w:r>
    </w:p>
    <w:bookmarkEnd w:id="5"/>
    <w:p w:rsidR="003257D0" w:rsidRPr="003257D0" w:rsidRDefault="003257D0" w:rsidP="003257D0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7D0" w:rsidRPr="003257D0" w:rsidRDefault="003257D0" w:rsidP="003257D0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7D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                   HI = Сумма HQ,  где                        </w:t>
      </w:r>
      <w:bookmarkStart w:id="6" w:name="_GoBack"/>
      <w:r w:rsidRPr="003257D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(7.6)</w:t>
      </w:r>
      <w:bookmarkEnd w:id="6"/>
    </w:p>
    <w:p w:rsidR="003257D0" w:rsidRPr="003257D0" w:rsidRDefault="003257D0" w:rsidP="003257D0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7D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                                i</w:t>
      </w:r>
    </w:p>
    <w:p w:rsidR="003257D0" w:rsidRPr="003257D0" w:rsidRDefault="003257D0" w:rsidP="003257D0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7D0" w:rsidRPr="003257D0" w:rsidRDefault="003257D0" w:rsidP="003257D0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7D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HQ  - коэффициенты  опасности   для    отдельных    компонентов     смеси</w:t>
      </w:r>
    </w:p>
    <w:p w:rsidR="003257D0" w:rsidRPr="003257D0" w:rsidRDefault="003257D0" w:rsidP="003257D0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7D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i   воздействующих веществ.</w:t>
      </w:r>
    </w:p>
    <w:p w:rsidR="003257D0" w:rsidRPr="003257D0" w:rsidRDefault="003257D0" w:rsidP="003257D0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7D0" w:rsidRPr="003257D0" w:rsidRDefault="003257D0" w:rsidP="003257D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743"/>
      <w:r w:rsidRPr="003257D0">
        <w:rPr>
          <w:rFonts w:ascii="Times New Roman" w:hAnsi="Times New Roman" w:cs="Times New Roman"/>
          <w:color w:val="000000" w:themeColor="text1"/>
          <w:sz w:val="28"/>
          <w:szCs w:val="28"/>
        </w:rPr>
        <w:t>При комплексном поступлении химического вещества в организм человека из окружающей среды одновременно несколькими путями, а также при многосредовом и многомаршрутном воздействии критерием риска является суммарный индекс опасности (THI) рассчитывается по формуле 7.7:</w:t>
      </w:r>
    </w:p>
    <w:bookmarkEnd w:id="7"/>
    <w:p w:rsidR="003257D0" w:rsidRPr="003257D0" w:rsidRDefault="003257D0" w:rsidP="003257D0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7D0" w:rsidRPr="003257D0" w:rsidRDefault="003257D0" w:rsidP="003257D0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7D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               ТНI = Сумма HI,  где                            (7.7)</w:t>
      </w:r>
    </w:p>
    <w:p w:rsidR="003257D0" w:rsidRPr="003257D0" w:rsidRDefault="003257D0" w:rsidP="003257D0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7D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                             j</w:t>
      </w:r>
    </w:p>
    <w:p w:rsidR="003257D0" w:rsidRPr="003257D0" w:rsidRDefault="003257D0" w:rsidP="003257D0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7D0" w:rsidRPr="003257D0" w:rsidRDefault="003257D0" w:rsidP="003257D0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7D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HI  - </w:t>
      </w:r>
      <w:hyperlink w:anchor="sub_31016" w:history="1">
        <w:r w:rsidRPr="003257D0">
          <w:rPr>
            <w:rStyle w:val="af0"/>
            <w:rFonts w:ascii="Times New Roman" w:hAnsi="Times New Roman" w:cs="Times New Roman"/>
            <w:b w:val="0"/>
            <w:noProof/>
            <w:color w:val="000000" w:themeColor="text1"/>
            <w:sz w:val="28"/>
            <w:szCs w:val="28"/>
          </w:rPr>
          <w:t>индексы опасности</w:t>
        </w:r>
      </w:hyperlink>
      <w:r w:rsidRPr="003257D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для отдельных путей поступления   или   отдельных</w:t>
      </w:r>
    </w:p>
    <w:p w:rsidR="003257D0" w:rsidRPr="003257D0" w:rsidRDefault="003257D0" w:rsidP="003257D0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7D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j   </w:t>
      </w:r>
      <w:hyperlink w:anchor="sub_31024" w:history="1">
        <w:r w:rsidRPr="003257D0">
          <w:rPr>
            <w:rStyle w:val="af0"/>
            <w:rFonts w:ascii="Times New Roman" w:hAnsi="Times New Roman" w:cs="Times New Roman"/>
            <w:b w:val="0"/>
            <w:noProof/>
            <w:color w:val="000000" w:themeColor="text1"/>
            <w:sz w:val="28"/>
            <w:szCs w:val="28"/>
          </w:rPr>
          <w:t>маршрутов воздействия</w:t>
        </w:r>
      </w:hyperlink>
      <w:r w:rsidRPr="003257D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3257D0" w:rsidRPr="003257D0" w:rsidRDefault="003257D0" w:rsidP="003257D0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7D0" w:rsidRPr="003257D0" w:rsidRDefault="003257D0" w:rsidP="003257D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744"/>
      <w:r w:rsidRPr="003257D0">
        <w:rPr>
          <w:rFonts w:ascii="Times New Roman" w:hAnsi="Times New Roman" w:cs="Times New Roman"/>
          <w:color w:val="000000" w:themeColor="text1"/>
          <w:sz w:val="28"/>
          <w:szCs w:val="28"/>
        </w:rPr>
        <w:t>7.4.4. При одновременном поступлении вещества А ингаляционно и перорально индекс опасности рассчитывается по формуле 7.8:</w:t>
      </w:r>
    </w:p>
    <w:bookmarkEnd w:id="8"/>
    <w:p w:rsidR="003257D0" w:rsidRPr="003257D0" w:rsidRDefault="003257D0" w:rsidP="003257D0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7D0" w:rsidRPr="003257D0" w:rsidRDefault="003257D0" w:rsidP="003257D0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7D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 xml:space="preserve">                      THI = C /RfC + D /RfD, где                    (7.8)</w:t>
      </w:r>
    </w:p>
    <w:p w:rsidR="003257D0" w:rsidRPr="003257D0" w:rsidRDefault="003257D0" w:rsidP="003257D0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7D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                        а        о</w:t>
      </w:r>
    </w:p>
    <w:p w:rsidR="003257D0" w:rsidRPr="003257D0" w:rsidRDefault="003257D0" w:rsidP="003257D0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7D0" w:rsidRPr="003257D0" w:rsidRDefault="003257D0" w:rsidP="003257D0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7D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  - оцениваемая концентрация вещества в воздухе (мг/м3);</w:t>
      </w:r>
    </w:p>
    <w:p w:rsidR="003257D0" w:rsidRPr="003257D0" w:rsidRDefault="003257D0" w:rsidP="003257D0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7D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а</w:t>
      </w:r>
    </w:p>
    <w:p w:rsidR="003257D0" w:rsidRPr="003257D0" w:rsidRDefault="003257D0" w:rsidP="003257D0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7D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D  - доза, получаемая при пероральном пути поступления (мг/кг).</w:t>
      </w:r>
    </w:p>
    <w:p w:rsidR="003257D0" w:rsidRPr="003257D0" w:rsidRDefault="003257D0" w:rsidP="003257D0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7D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о</w:t>
      </w:r>
    </w:p>
    <w:p w:rsidR="003257D0" w:rsidRPr="003257D0" w:rsidRDefault="003257D0" w:rsidP="003257D0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7D0" w:rsidRPr="003257D0" w:rsidRDefault="003257D0" w:rsidP="003257D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745"/>
      <w:r w:rsidRPr="003257D0">
        <w:rPr>
          <w:rFonts w:ascii="Times New Roman" w:hAnsi="Times New Roman" w:cs="Times New Roman"/>
          <w:color w:val="000000" w:themeColor="text1"/>
          <w:sz w:val="28"/>
          <w:szCs w:val="28"/>
        </w:rPr>
        <w:t>Оценка опасности при комплексном поступлении осуществляется без учета коэффициентов поглощения веществ в органах дыхания и желудочно-кишечном тракте, т.е. на основе воздействующих доз и концентраций. Это обусловлено тем, что величины безопасных уровней воздействия химических веществ (</w:t>
      </w:r>
      <w:proofErr w:type="spellStart"/>
      <w:r w:rsidRPr="003257D0">
        <w:rPr>
          <w:rFonts w:ascii="Times New Roman" w:hAnsi="Times New Roman" w:cs="Times New Roman"/>
          <w:color w:val="000000" w:themeColor="text1"/>
          <w:sz w:val="28"/>
          <w:szCs w:val="28"/>
        </w:rPr>
        <w:t>RfD</w:t>
      </w:r>
      <w:proofErr w:type="spellEnd"/>
      <w:r w:rsidRPr="003257D0">
        <w:rPr>
          <w:rFonts w:ascii="Times New Roman" w:hAnsi="Times New Roman" w:cs="Times New Roman"/>
          <w:color w:val="000000" w:themeColor="text1"/>
          <w:sz w:val="28"/>
          <w:szCs w:val="28"/>
        </w:rPr>
        <w:t>, RfC) всегда устанавливаются как экспозиционные (воздействующие), а не поглощенные дозы.</w:t>
      </w:r>
    </w:p>
    <w:p w:rsidR="003257D0" w:rsidRPr="003257D0" w:rsidRDefault="003257D0" w:rsidP="003257D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746"/>
      <w:bookmarkEnd w:id="9"/>
      <w:r w:rsidRPr="003257D0">
        <w:rPr>
          <w:rFonts w:ascii="Times New Roman" w:hAnsi="Times New Roman" w:cs="Times New Roman"/>
          <w:color w:val="000000" w:themeColor="text1"/>
          <w:sz w:val="28"/>
          <w:szCs w:val="28"/>
        </w:rPr>
        <w:t>При накожном воздействии химических веществ, как правило, оценивается величина поглощенной дозы. В связи с отсутствием данных о безопасных уровнях при накожном воздействии для большинства приоритетных химических веществ, в качестве ориентировочной меры допустимого накожного воздействия (</w:t>
      </w:r>
      <w:proofErr w:type="spellStart"/>
      <w:r w:rsidRPr="003257D0">
        <w:rPr>
          <w:rFonts w:ascii="Times New Roman" w:hAnsi="Times New Roman" w:cs="Times New Roman"/>
          <w:color w:val="000000" w:themeColor="text1"/>
          <w:sz w:val="28"/>
          <w:szCs w:val="28"/>
        </w:rPr>
        <w:t>RfDd</w:t>
      </w:r>
      <w:proofErr w:type="spellEnd"/>
      <w:r w:rsidRPr="00325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используется величина поглощенной дозы, рассчитанной, исходя из </w:t>
      </w:r>
      <w:proofErr w:type="spellStart"/>
      <w:r w:rsidRPr="003257D0">
        <w:rPr>
          <w:rFonts w:ascii="Times New Roman" w:hAnsi="Times New Roman" w:cs="Times New Roman"/>
          <w:color w:val="000000" w:themeColor="text1"/>
          <w:sz w:val="28"/>
          <w:szCs w:val="28"/>
        </w:rPr>
        <w:t>референтной</w:t>
      </w:r>
      <w:proofErr w:type="spellEnd"/>
      <w:r w:rsidRPr="00325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дозы (</w:t>
      </w:r>
      <w:proofErr w:type="spellStart"/>
      <w:r w:rsidRPr="003257D0">
        <w:rPr>
          <w:rFonts w:ascii="Times New Roman" w:hAnsi="Times New Roman" w:cs="Times New Roman"/>
          <w:color w:val="000000" w:themeColor="text1"/>
          <w:sz w:val="28"/>
          <w:szCs w:val="28"/>
        </w:rPr>
        <w:t>RfDo</w:t>
      </w:r>
      <w:proofErr w:type="spellEnd"/>
      <w:r w:rsidRPr="003257D0">
        <w:rPr>
          <w:rFonts w:ascii="Times New Roman" w:hAnsi="Times New Roman" w:cs="Times New Roman"/>
          <w:color w:val="000000" w:themeColor="text1"/>
          <w:sz w:val="28"/>
          <w:szCs w:val="28"/>
        </w:rPr>
        <w:t>) при пероральном пути поступления (формула 7.9):</w:t>
      </w:r>
    </w:p>
    <w:bookmarkEnd w:id="10"/>
    <w:p w:rsidR="003257D0" w:rsidRPr="003257D0" w:rsidRDefault="003257D0" w:rsidP="003257D0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7D0" w:rsidRPr="003257D0" w:rsidRDefault="003257D0" w:rsidP="003257D0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257D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               </w:t>
      </w:r>
      <w:r w:rsidRPr="003257D0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t xml:space="preserve">RfDd = RfDo x GIABS, </w:t>
      </w:r>
      <w:r w:rsidRPr="003257D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где</w:t>
      </w:r>
      <w:r w:rsidRPr="003257D0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t xml:space="preserve">                        (7.9)</w:t>
      </w:r>
    </w:p>
    <w:p w:rsidR="003257D0" w:rsidRPr="003257D0" w:rsidRDefault="003257D0" w:rsidP="003257D0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257D0" w:rsidRPr="003257D0" w:rsidRDefault="003257D0" w:rsidP="003257D0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7D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GIABS - коэффициент абсорбции в желудочно-кишечном тракте.</w:t>
      </w:r>
    </w:p>
    <w:p w:rsidR="003257D0" w:rsidRPr="003257D0" w:rsidRDefault="003257D0" w:rsidP="003257D0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7D0" w:rsidRPr="003257D0" w:rsidRDefault="003257D0" w:rsidP="003257D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7D0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Примечание.</w:t>
      </w:r>
      <w:r w:rsidRPr="00325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Значения GIABS для приоритетных химических веществ, загрязняющих окружающую среду, обобщены в компьютерных базах данных, разработанных в ГУ НИИ ЭЧ и ГОС им. А.Н. </w:t>
      </w:r>
      <w:proofErr w:type="spellStart"/>
      <w:r w:rsidRPr="003257D0">
        <w:rPr>
          <w:rFonts w:ascii="Times New Roman" w:hAnsi="Times New Roman" w:cs="Times New Roman"/>
          <w:color w:val="000000" w:themeColor="text1"/>
          <w:sz w:val="28"/>
          <w:szCs w:val="28"/>
        </w:rPr>
        <w:t>Сысина</w:t>
      </w:r>
      <w:proofErr w:type="spellEnd"/>
      <w:r w:rsidRPr="00325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РАМН.</w:t>
      </w:r>
    </w:p>
    <w:p w:rsidR="003257D0" w:rsidRPr="003257D0" w:rsidRDefault="003257D0" w:rsidP="003257D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747"/>
      <w:r w:rsidRPr="00325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 </w:t>
      </w:r>
      <w:hyperlink w:anchor="sub_31016" w:history="1">
        <w:r w:rsidRPr="003257D0">
          <w:rPr>
            <w:rStyle w:val="af0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индексов опасности</w:t>
        </w:r>
      </w:hyperlink>
      <w:r w:rsidRPr="00325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целесообразно проводить с учетом критических органов/систем, поражаемых исследуемыми веществами, т.к. при воздействии компонентов смеси на одни и те же органы или системы организма наиболее вероятным типом их комбинированного действия является суммация (</w:t>
      </w:r>
      <w:proofErr w:type="spellStart"/>
      <w:r w:rsidRPr="003257D0">
        <w:rPr>
          <w:rFonts w:ascii="Times New Roman" w:hAnsi="Times New Roman" w:cs="Times New Roman"/>
          <w:color w:val="000000" w:themeColor="text1"/>
          <w:sz w:val="28"/>
          <w:szCs w:val="28"/>
        </w:rPr>
        <w:t>аддитивность</w:t>
      </w:r>
      <w:proofErr w:type="spellEnd"/>
      <w:r w:rsidRPr="003257D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257D0" w:rsidRPr="003257D0" w:rsidRDefault="003257D0" w:rsidP="003257D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748"/>
      <w:bookmarkEnd w:id="11"/>
      <w:r w:rsidRPr="00325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Подобный подход, принятый в </w:t>
      </w:r>
      <w:hyperlink w:anchor="sub_31032" w:history="1">
        <w:r w:rsidRPr="003257D0">
          <w:rPr>
            <w:rStyle w:val="af0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оценке риска</w:t>
        </w:r>
      </w:hyperlink>
      <w:r w:rsidRPr="00325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неканцерогенных эффектов, хотя и достаточно консервативен, т.к. может преувеличивать опасность для здоровья, однако является более предпочтительным по сравнению с раздельной, независимой оценкой каждого из компонентов, или признанием всех компонентов аддитивно действующими.</w:t>
      </w:r>
    </w:p>
    <w:bookmarkEnd w:id="12"/>
    <w:p w:rsidR="005158F1" w:rsidRDefault="005158F1" w:rsidP="00D556F5">
      <w:pPr>
        <w:pStyle w:val="4"/>
        <w:ind w:firstLine="709"/>
        <w:contextualSpacing/>
        <w:jc w:val="center"/>
        <w:rPr>
          <w:b/>
          <w:sz w:val="28"/>
          <w:szCs w:val="28"/>
        </w:rPr>
      </w:pPr>
    </w:p>
    <w:p w:rsidR="005158F1" w:rsidRDefault="005158F1" w:rsidP="00D556F5">
      <w:pPr>
        <w:pStyle w:val="4"/>
        <w:ind w:firstLine="709"/>
        <w:contextualSpacing/>
        <w:jc w:val="center"/>
        <w:rPr>
          <w:b/>
          <w:sz w:val="28"/>
          <w:szCs w:val="28"/>
        </w:rPr>
      </w:pPr>
    </w:p>
    <w:p w:rsidR="00D556F5" w:rsidRPr="00D556F5" w:rsidRDefault="00D556F5" w:rsidP="00D556F5">
      <w:pPr>
        <w:pStyle w:val="4"/>
        <w:ind w:firstLine="709"/>
        <w:contextualSpacing/>
        <w:jc w:val="center"/>
        <w:rPr>
          <w:b/>
          <w:sz w:val="28"/>
          <w:szCs w:val="28"/>
        </w:rPr>
      </w:pPr>
      <w:r w:rsidRPr="00D556F5">
        <w:rPr>
          <w:b/>
          <w:sz w:val="28"/>
          <w:szCs w:val="28"/>
        </w:rPr>
        <w:t>Практическая работа</w:t>
      </w:r>
    </w:p>
    <w:p w:rsidR="00D556F5" w:rsidRPr="00D556F5" w:rsidRDefault="00D556F5" w:rsidP="00D556F5">
      <w:pPr>
        <w:pStyle w:val="4"/>
        <w:ind w:firstLine="709"/>
        <w:contextualSpacing/>
        <w:jc w:val="center"/>
        <w:rPr>
          <w:b/>
          <w:sz w:val="28"/>
          <w:szCs w:val="28"/>
        </w:rPr>
      </w:pPr>
      <w:r w:rsidRPr="00D556F5">
        <w:rPr>
          <w:b/>
          <w:sz w:val="28"/>
          <w:szCs w:val="28"/>
        </w:rPr>
        <w:t>(Приложение 1)</w:t>
      </w:r>
    </w:p>
    <w:p w:rsidR="00D556F5" w:rsidRDefault="00D556F5" w:rsidP="007A0CCF">
      <w:pPr>
        <w:pStyle w:val="4"/>
        <w:ind w:firstLine="709"/>
        <w:contextualSpacing/>
        <w:jc w:val="both"/>
        <w:rPr>
          <w:bCs/>
          <w:sz w:val="28"/>
          <w:szCs w:val="28"/>
        </w:rPr>
      </w:pPr>
    </w:p>
    <w:p w:rsidR="007A0CCF" w:rsidRPr="00D556F5" w:rsidRDefault="007A0CCF" w:rsidP="00D556F5">
      <w:pPr>
        <w:pStyle w:val="4"/>
        <w:ind w:firstLine="709"/>
        <w:contextualSpacing/>
        <w:jc w:val="center"/>
        <w:rPr>
          <w:b/>
          <w:bCs/>
          <w:sz w:val="28"/>
          <w:szCs w:val="28"/>
        </w:rPr>
      </w:pPr>
      <w:r w:rsidRPr="00D556F5">
        <w:rPr>
          <w:b/>
          <w:bCs/>
          <w:sz w:val="28"/>
          <w:szCs w:val="28"/>
        </w:rPr>
        <w:t>Рекомендуемая литература:</w:t>
      </w:r>
    </w:p>
    <w:p w:rsidR="007A0CCF" w:rsidRPr="007A0CCF" w:rsidRDefault="007A0CCF" w:rsidP="007A0CCF">
      <w:pPr>
        <w:pStyle w:val="4"/>
        <w:numPr>
          <w:ilvl w:val="0"/>
          <w:numId w:val="4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7A0CCF">
        <w:rPr>
          <w:bCs/>
          <w:sz w:val="28"/>
          <w:szCs w:val="28"/>
        </w:rPr>
        <w:t>П.И. Мельниченко, В.И.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>Архангельский, Н.И. Прохоров, Т.А.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>Козлова, Г.К.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>Семеновых. Л.Н. Семеновых, А.А.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 xml:space="preserve">Матвеев «Общая гигиена. Социально-гигиенический мониторинг» под </w:t>
      </w:r>
      <w:proofErr w:type="spellStart"/>
      <w:r w:rsidRPr="007A0CCF">
        <w:rPr>
          <w:bCs/>
          <w:sz w:val="28"/>
          <w:szCs w:val="28"/>
        </w:rPr>
        <w:t>ред.П.И</w:t>
      </w:r>
      <w:proofErr w:type="spellEnd"/>
      <w:r w:rsidRPr="007A0CCF">
        <w:rPr>
          <w:bCs/>
          <w:sz w:val="28"/>
          <w:szCs w:val="28"/>
        </w:rPr>
        <w:t>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>Мельниченко, - Москва 2015г.</w:t>
      </w:r>
    </w:p>
    <w:p w:rsidR="007A0CCF" w:rsidRPr="007A0CCF" w:rsidRDefault="007A0CCF" w:rsidP="007A0CCF">
      <w:pPr>
        <w:pStyle w:val="4"/>
        <w:numPr>
          <w:ilvl w:val="0"/>
          <w:numId w:val="4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7A0CCF">
        <w:rPr>
          <w:bCs/>
          <w:sz w:val="28"/>
          <w:szCs w:val="28"/>
        </w:rPr>
        <w:t xml:space="preserve">Общая гигиена: учебное пособие /А.М. Большаков, В.Г. Маймулов [и др.]. – 2-е изд., доп. И </w:t>
      </w:r>
      <w:proofErr w:type="spellStart"/>
      <w:r w:rsidRPr="007A0CCF">
        <w:rPr>
          <w:bCs/>
          <w:sz w:val="28"/>
          <w:szCs w:val="28"/>
        </w:rPr>
        <w:t>перераб</w:t>
      </w:r>
      <w:proofErr w:type="spellEnd"/>
      <w:r w:rsidRPr="007A0CCF">
        <w:rPr>
          <w:bCs/>
          <w:sz w:val="28"/>
          <w:szCs w:val="28"/>
        </w:rPr>
        <w:t xml:space="preserve">. – М.: ГОЕТАР-Медиа, 2009. – 832 с. </w:t>
      </w:r>
    </w:p>
    <w:p w:rsidR="007A0CCF" w:rsidRPr="007A0CCF" w:rsidRDefault="007A0CCF" w:rsidP="007A0CCF">
      <w:pPr>
        <w:pStyle w:val="4"/>
        <w:numPr>
          <w:ilvl w:val="0"/>
          <w:numId w:val="4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7A0CCF">
        <w:rPr>
          <w:bCs/>
          <w:sz w:val="28"/>
          <w:szCs w:val="28"/>
        </w:rPr>
        <w:t>Руководство по оценке риска для населения при воздействии химических веществ, загрязняющих окружающую среду Р 2.1.10.1920 – 04 – Москва 2004г.</w:t>
      </w:r>
    </w:p>
    <w:p w:rsidR="007A0CCF" w:rsidRPr="007A0CCF" w:rsidRDefault="007A0CCF" w:rsidP="007A0CCF">
      <w:pPr>
        <w:pStyle w:val="4"/>
        <w:numPr>
          <w:ilvl w:val="0"/>
          <w:numId w:val="4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7A0CCF">
        <w:rPr>
          <w:bCs/>
          <w:sz w:val="28"/>
          <w:szCs w:val="28"/>
        </w:rPr>
        <w:t>С.Л.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>Авалиани, М.М.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>Адрианова, Е.В.</w:t>
      </w:r>
      <w:r w:rsidR="00D556F5">
        <w:rPr>
          <w:bCs/>
          <w:sz w:val="28"/>
          <w:szCs w:val="28"/>
        </w:rPr>
        <w:t xml:space="preserve"> </w:t>
      </w:r>
      <w:proofErr w:type="spellStart"/>
      <w:r w:rsidRPr="007A0CCF">
        <w:rPr>
          <w:bCs/>
          <w:sz w:val="28"/>
          <w:szCs w:val="28"/>
        </w:rPr>
        <w:t>Печенникова</w:t>
      </w:r>
      <w:proofErr w:type="spellEnd"/>
      <w:r w:rsidRPr="007A0CCF">
        <w:rPr>
          <w:bCs/>
          <w:sz w:val="28"/>
          <w:szCs w:val="28"/>
        </w:rPr>
        <w:t>, О.В.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 xml:space="preserve">Пономарева «Окружающая среда. Оценка риска для здоровья (мировой </w:t>
      </w:r>
      <w:proofErr w:type="gramStart"/>
      <w:r w:rsidRPr="007A0CCF">
        <w:rPr>
          <w:bCs/>
          <w:sz w:val="28"/>
          <w:szCs w:val="28"/>
        </w:rPr>
        <w:t>опыт)/</w:t>
      </w:r>
      <w:proofErr w:type="gramEnd"/>
      <w:r w:rsidRPr="007A0CCF">
        <w:rPr>
          <w:bCs/>
          <w:sz w:val="28"/>
          <w:szCs w:val="28"/>
        </w:rPr>
        <w:t>Консультационный центр по оценке риска. Москва, 1996 г.</w:t>
      </w:r>
    </w:p>
    <w:p w:rsidR="007A0CCF" w:rsidRPr="007A0CCF" w:rsidRDefault="007A0CCF" w:rsidP="007A0CCF">
      <w:pPr>
        <w:pStyle w:val="4"/>
        <w:numPr>
          <w:ilvl w:val="0"/>
          <w:numId w:val="4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7A0CCF">
        <w:rPr>
          <w:bCs/>
          <w:sz w:val="28"/>
          <w:szCs w:val="28"/>
        </w:rPr>
        <w:t>С.М.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>Новиков Алгоритмы расчета доз при оценке риска, обусловленного многосредовым воздействием химических веществ /</w:t>
      </w:r>
      <w:proofErr w:type="gramStart"/>
      <w:r w:rsidRPr="007A0CCF">
        <w:rPr>
          <w:bCs/>
          <w:sz w:val="28"/>
          <w:szCs w:val="28"/>
        </w:rPr>
        <w:t>Консультационный центр</w:t>
      </w:r>
      <w:proofErr w:type="gramEnd"/>
      <w:r w:rsidRPr="007A0CCF">
        <w:rPr>
          <w:bCs/>
          <w:sz w:val="28"/>
          <w:szCs w:val="28"/>
        </w:rPr>
        <w:t xml:space="preserve"> по оценке риска. Москва – 1999 г.</w:t>
      </w:r>
    </w:p>
    <w:p w:rsidR="007A0CCF" w:rsidRPr="007A0CCF" w:rsidRDefault="007A0CCF" w:rsidP="007A0CCF">
      <w:pPr>
        <w:pStyle w:val="4"/>
        <w:numPr>
          <w:ilvl w:val="0"/>
          <w:numId w:val="4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7A0CCF">
        <w:rPr>
          <w:bCs/>
          <w:sz w:val="28"/>
          <w:szCs w:val="28"/>
        </w:rPr>
        <w:t>С.М.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>Новиков, С.Л.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>Авалиани, О.В. Пономарева, Г.К.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>Семеновых, Л.И.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>Привалова «Оценка риска воздействия факторов окружающей среды на здоровье человека: Англо-русский глоссарий. – Москва, 1998г.</w:t>
      </w:r>
    </w:p>
    <w:p w:rsidR="007A0CCF" w:rsidRPr="007A0CCF" w:rsidRDefault="007A0CCF" w:rsidP="007A0CCF">
      <w:pPr>
        <w:pStyle w:val="4"/>
        <w:numPr>
          <w:ilvl w:val="0"/>
          <w:numId w:val="4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7A0CCF">
        <w:rPr>
          <w:bCs/>
          <w:sz w:val="28"/>
          <w:szCs w:val="28"/>
        </w:rPr>
        <w:t>С.М.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>Новиков, Б.А.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>Курляндский</w:t>
      </w:r>
      <w:r w:rsidR="00D556F5">
        <w:rPr>
          <w:bCs/>
          <w:sz w:val="28"/>
          <w:szCs w:val="28"/>
        </w:rPr>
        <w:t xml:space="preserve">, Ю.А. Рахманин </w:t>
      </w:r>
      <w:proofErr w:type="spellStart"/>
      <w:r w:rsidR="00D556F5">
        <w:rPr>
          <w:bCs/>
          <w:sz w:val="28"/>
          <w:szCs w:val="28"/>
        </w:rPr>
        <w:t>идр</w:t>
      </w:r>
      <w:proofErr w:type="spellEnd"/>
      <w:r w:rsidR="00D556F5">
        <w:rPr>
          <w:bCs/>
          <w:sz w:val="28"/>
          <w:szCs w:val="28"/>
        </w:rPr>
        <w:t>. Применение</w:t>
      </w:r>
      <w:r w:rsidRPr="007A0CCF">
        <w:rPr>
          <w:bCs/>
          <w:sz w:val="28"/>
          <w:szCs w:val="28"/>
        </w:rPr>
        <w:t xml:space="preserve"> факторов канцерогенного потенциала при оценке риска воздействия химических веществ: Методические рекомендации/НИИ ЭЧ и ГОС им. А.Н.</w:t>
      </w:r>
      <w:r w:rsidR="00D556F5">
        <w:rPr>
          <w:bCs/>
          <w:sz w:val="28"/>
          <w:szCs w:val="28"/>
        </w:rPr>
        <w:t xml:space="preserve"> </w:t>
      </w:r>
      <w:proofErr w:type="spellStart"/>
      <w:r w:rsidRPr="007A0CCF">
        <w:rPr>
          <w:bCs/>
          <w:sz w:val="28"/>
          <w:szCs w:val="28"/>
        </w:rPr>
        <w:t>Сысина</w:t>
      </w:r>
      <w:proofErr w:type="spellEnd"/>
      <w:r w:rsidRPr="007A0CCF">
        <w:rPr>
          <w:bCs/>
          <w:sz w:val="28"/>
          <w:szCs w:val="28"/>
        </w:rPr>
        <w:t xml:space="preserve"> РАМН, Российский регистр потенциально опасных химических и биологических веществ, ММА </w:t>
      </w:r>
      <w:proofErr w:type="gramStart"/>
      <w:r w:rsidRPr="007A0CCF">
        <w:rPr>
          <w:bCs/>
          <w:sz w:val="28"/>
          <w:szCs w:val="28"/>
        </w:rPr>
        <w:t>им .</w:t>
      </w:r>
      <w:proofErr w:type="gramEnd"/>
      <w:r w:rsidRPr="007A0CCF">
        <w:rPr>
          <w:bCs/>
          <w:sz w:val="28"/>
          <w:szCs w:val="28"/>
        </w:rPr>
        <w:t xml:space="preserve">И.М. Сеченова, </w:t>
      </w:r>
      <w:proofErr w:type="spellStart"/>
      <w:r w:rsidRPr="007A0CCF">
        <w:rPr>
          <w:bCs/>
          <w:sz w:val="28"/>
          <w:szCs w:val="28"/>
        </w:rPr>
        <w:t>ЦентрГоссанэпиднадзора</w:t>
      </w:r>
      <w:proofErr w:type="spellEnd"/>
      <w:r w:rsidRPr="007A0CCF">
        <w:rPr>
          <w:bCs/>
          <w:sz w:val="28"/>
          <w:szCs w:val="28"/>
        </w:rPr>
        <w:t xml:space="preserve"> в </w:t>
      </w:r>
      <w:proofErr w:type="spellStart"/>
      <w:r w:rsidRPr="007A0CCF">
        <w:rPr>
          <w:bCs/>
          <w:sz w:val="28"/>
          <w:szCs w:val="28"/>
        </w:rPr>
        <w:t>г.Москве</w:t>
      </w:r>
      <w:proofErr w:type="spellEnd"/>
      <w:r w:rsidRPr="007A0CCF">
        <w:rPr>
          <w:bCs/>
          <w:sz w:val="28"/>
          <w:szCs w:val="28"/>
        </w:rPr>
        <w:t>. -  Москва, 2001г.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bCs/>
          <w:sz w:val="28"/>
          <w:szCs w:val="28"/>
        </w:rPr>
        <w:t>Г.Г.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>Онищенко, С.М.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>Новиков, Ю.А.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>Рахманин, С.Л.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>Авалиани, К.А.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 xml:space="preserve">Буштуева Основы оценки риска для здоровья населения при воздействии химических веществ, загрязняющих окружающую среду /Под ред. </w:t>
      </w:r>
      <w:r w:rsidRPr="007A0CCF">
        <w:rPr>
          <w:bCs/>
          <w:sz w:val="28"/>
          <w:szCs w:val="28"/>
        </w:rPr>
        <w:lastRenderedPageBreak/>
        <w:t>Рахманина Ю.А., Онищенко Г.Г., Москва: НИИ ЭЧ и ГОС, 2002г. – 408с.</w:t>
      </w:r>
    </w:p>
    <w:p w:rsidR="007A0CCF" w:rsidRPr="007A0CCF" w:rsidRDefault="007A0CCF" w:rsidP="007A0CCF">
      <w:pPr>
        <w:pStyle w:val="4"/>
        <w:ind w:left="57"/>
        <w:jc w:val="both"/>
        <w:rPr>
          <w:sz w:val="28"/>
          <w:szCs w:val="28"/>
        </w:rPr>
      </w:pPr>
    </w:p>
    <w:p w:rsidR="007A0CCF" w:rsidRDefault="007A0CCF" w:rsidP="00D556F5">
      <w:pPr>
        <w:pStyle w:val="4"/>
        <w:ind w:left="57"/>
        <w:jc w:val="center"/>
        <w:rPr>
          <w:sz w:val="28"/>
          <w:szCs w:val="28"/>
        </w:rPr>
      </w:pPr>
      <w:proofErr w:type="spellStart"/>
      <w:r w:rsidRPr="007A0CCF">
        <w:rPr>
          <w:sz w:val="28"/>
          <w:szCs w:val="28"/>
        </w:rPr>
        <w:t>Хронокарта</w:t>
      </w:r>
      <w:proofErr w:type="spellEnd"/>
      <w:r w:rsidRPr="007A0CCF">
        <w:rPr>
          <w:sz w:val="28"/>
          <w:szCs w:val="28"/>
        </w:rPr>
        <w:t xml:space="preserve">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4916"/>
        <w:gridCol w:w="2449"/>
        <w:gridCol w:w="1575"/>
      </w:tblGrid>
      <w:tr w:rsidR="00D556F5" w:rsidRPr="00D556F5" w:rsidTr="00615128">
        <w:trPr>
          <w:jc w:val="center"/>
        </w:trPr>
        <w:tc>
          <w:tcPr>
            <w:tcW w:w="648" w:type="dxa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82" w:type="dxa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Используемые методы (в </w:t>
            </w:r>
            <w:proofErr w:type="spellStart"/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., интерактивные)</w:t>
            </w:r>
          </w:p>
        </w:tc>
        <w:tc>
          <w:tcPr>
            <w:tcW w:w="1718" w:type="dxa"/>
            <w:shd w:val="clear" w:color="auto" w:fill="auto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D556F5" w:rsidRPr="00D556F5" w:rsidTr="00615128">
        <w:trPr>
          <w:jc w:val="center"/>
        </w:trPr>
        <w:tc>
          <w:tcPr>
            <w:tcW w:w="648" w:type="dxa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посещаемости, дисциплина, успеваемость и т.д.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556F5" w:rsidRPr="00D556F5" w:rsidTr="00615128">
        <w:trPr>
          <w:jc w:val="center"/>
        </w:trPr>
        <w:tc>
          <w:tcPr>
            <w:tcW w:w="648" w:type="dxa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482" w:type="dxa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Входной контроль знаний, умений и навыков студентов 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возникших у студентов при самоподготовке вопросов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Тестовый входной контроль знаний</w:t>
            </w:r>
          </w:p>
        </w:tc>
        <w:tc>
          <w:tcPr>
            <w:tcW w:w="2520" w:type="dxa"/>
            <w:shd w:val="clear" w:color="auto" w:fill="auto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работа</w:t>
            </w:r>
          </w:p>
        </w:tc>
        <w:tc>
          <w:tcPr>
            <w:tcW w:w="1718" w:type="dxa"/>
            <w:shd w:val="clear" w:color="auto" w:fill="auto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556F5" w:rsidRPr="00D556F5" w:rsidTr="00615128">
        <w:trPr>
          <w:jc w:val="center"/>
        </w:trPr>
        <w:tc>
          <w:tcPr>
            <w:tcW w:w="648" w:type="dxa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482" w:type="dxa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Разбор теоретического</w:t>
            </w:r>
            <w:r w:rsidRPr="00D55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материала 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практическая работа студентов</w:t>
            </w:r>
          </w:p>
        </w:tc>
        <w:tc>
          <w:tcPr>
            <w:tcW w:w="2520" w:type="dxa"/>
            <w:shd w:val="clear" w:color="auto" w:fill="auto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Фронтальный опрос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Производственно-трудовые упражнения</w:t>
            </w:r>
          </w:p>
        </w:tc>
        <w:tc>
          <w:tcPr>
            <w:tcW w:w="1718" w:type="dxa"/>
            <w:shd w:val="clear" w:color="auto" w:fill="auto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D556F5" w:rsidRPr="00D556F5" w:rsidTr="00615128">
        <w:trPr>
          <w:jc w:val="center"/>
        </w:trPr>
        <w:tc>
          <w:tcPr>
            <w:tcW w:w="648" w:type="dxa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482" w:type="dxa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формируемых компетенций (их элементов) студентов по теме занятия – проверка протокола практической работы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20" w:type="dxa"/>
            <w:shd w:val="clear" w:color="auto" w:fill="auto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практической работы</w:t>
            </w:r>
          </w:p>
        </w:tc>
        <w:tc>
          <w:tcPr>
            <w:tcW w:w="1718" w:type="dxa"/>
            <w:shd w:val="clear" w:color="auto" w:fill="auto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556F5" w:rsidRPr="007A0CCF" w:rsidRDefault="00D556F5" w:rsidP="00D556F5">
      <w:pPr>
        <w:pStyle w:val="4"/>
        <w:ind w:left="57"/>
        <w:jc w:val="center"/>
        <w:rPr>
          <w:sz w:val="28"/>
          <w:szCs w:val="28"/>
        </w:rPr>
      </w:pPr>
    </w:p>
    <w:p w:rsidR="007A0CCF" w:rsidRPr="007A0CCF" w:rsidRDefault="007A0CCF" w:rsidP="007A0CCF">
      <w:pPr>
        <w:pStyle w:val="4"/>
        <w:ind w:left="57" w:firstLine="0"/>
        <w:rPr>
          <w:sz w:val="28"/>
          <w:szCs w:val="28"/>
        </w:rPr>
      </w:pPr>
      <w:r w:rsidRPr="007A0CCF">
        <w:rPr>
          <w:sz w:val="28"/>
          <w:szCs w:val="28"/>
        </w:rPr>
        <w:t>8. Форма организации занятия – практическое занятие.</w:t>
      </w:r>
    </w:p>
    <w:p w:rsidR="007A0CCF" w:rsidRPr="007A0CCF" w:rsidRDefault="007A0CCF" w:rsidP="007A0CCF">
      <w:pPr>
        <w:pStyle w:val="4"/>
        <w:ind w:left="57" w:firstLine="0"/>
        <w:rPr>
          <w:sz w:val="28"/>
          <w:szCs w:val="28"/>
        </w:rPr>
      </w:pPr>
      <w:r w:rsidRPr="007A0CCF">
        <w:rPr>
          <w:sz w:val="28"/>
          <w:szCs w:val="28"/>
        </w:rPr>
        <w:t xml:space="preserve">9. Средства обучения: </w:t>
      </w:r>
    </w:p>
    <w:p w:rsidR="007A0CCF" w:rsidRPr="007A0CCF" w:rsidRDefault="007A0CCF" w:rsidP="007A0CCF">
      <w:pPr>
        <w:pStyle w:val="4"/>
        <w:ind w:left="57" w:firstLine="0"/>
        <w:rPr>
          <w:sz w:val="28"/>
          <w:szCs w:val="28"/>
        </w:rPr>
      </w:pPr>
      <w:r w:rsidRPr="007A0CCF">
        <w:rPr>
          <w:sz w:val="28"/>
          <w:szCs w:val="28"/>
        </w:rPr>
        <w:t>- дидактические (таблицы, схемы, раздаточный материал - нормативные документы).</w:t>
      </w:r>
    </w:p>
    <w:p w:rsidR="007A0CCF" w:rsidRPr="007A0CCF" w:rsidRDefault="007A0CCF" w:rsidP="007A0CCF">
      <w:pPr>
        <w:pStyle w:val="4"/>
        <w:ind w:left="57" w:firstLine="0"/>
        <w:rPr>
          <w:sz w:val="28"/>
          <w:szCs w:val="28"/>
        </w:rPr>
      </w:pPr>
      <w:r w:rsidRPr="007A0CCF">
        <w:rPr>
          <w:sz w:val="28"/>
          <w:szCs w:val="28"/>
        </w:rPr>
        <w:t xml:space="preserve">- материально - технические (мел, доска) </w:t>
      </w:r>
    </w:p>
    <w:p w:rsidR="00EC66FE" w:rsidRDefault="00EC66FE" w:rsidP="007A0CCF">
      <w:pPr>
        <w:pStyle w:val="4"/>
        <w:shd w:val="clear" w:color="auto" w:fill="auto"/>
        <w:spacing w:line="360" w:lineRule="auto"/>
        <w:ind w:left="57" w:firstLine="0"/>
        <w:jc w:val="both"/>
        <w:rPr>
          <w:color w:val="000000" w:themeColor="text1"/>
          <w:sz w:val="28"/>
          <w:szCs w:val="28"/>
        </w:rPr>
      </w:pPr>
    </w:p>
    <w:p w:rsidR="00BF015C" w:rsidRDefault="00BF015C">
      <w:pPr>
        <w:rPr>
          <w:rFonts w:ascii="Times New Roman" w:hAnsi="Times New Roman" w:cs="Times New Roman"/>
          <w:sz w:val="28"/>
          <w:szCs w:val="28"/>
        </w:rPr>
      </w:pPr>
    </w:p>
    <w:p w:rsidR="00327E3F" w:rsidRDefault="00327E3F"/>
    <w:sectPr w:rsidR="00327E3F" w:rsidSect="00BF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2564"/>
    <w:multiLevelType w:val="hybridMultilevel"/>
    <w:tmpl w:val="3D766846"/>
    <w:lvl w:ilvl="0" w:tplc="B02AE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E02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68F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AA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764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66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A4A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742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BAD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D005F4"/>
    <w:multiLevelType w:val="hybridMultilevel"/>
    <w:tmpl w:val="2E9C698C"/>
    <w:lvl w:ilvl="0" w:tplc="86A25E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76E0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DE6C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2EB5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4A2B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0E05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AC8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2464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AE73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10F06"/>
    <w:multiLevelType w:val="hybridMultilevel"/>
    <w:tmpl w:val="2842E12C"/>
    <w:lvl w:ilvl="0" w:tplc="EABE1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64C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AB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AE0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AD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09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69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E6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80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4350C1"/>
    <w:multiLevelType w:val="hybridMultilevel"/>
    <w:tmpl w:val="76B8D10A"/>
    <w:lvl w:ilvl="0" w:tplc="0032E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5C0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2D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B83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6D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EA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EA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584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07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937E52"/>
    <w:multiLevelType w:val="hybridMultilevel"/>
    <w:tmpl w:val="D46E3C30"/>
    <w:lvl w:ilvl="0" w:tplc="4A645E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2C2C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5619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265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C4A8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6A7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9443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D455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849C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59B3134"/>
    <w:multiLevelType w:val="hybridMultilevel"/>
    <w:tmpl w:val="A9AE0BE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801EA"/>
    <w:multiLevelType w:val="multilevel"/>
    <w:tmpl w:val="2E9E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9B27D3"/>
    <w:multiLevelType w:val="hybridMultilevel"/>
    <w:tmpl w:val="E7DEEBFC"/>
    <w:lvl w:ilvl="0" w:tplc="C6EA9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10D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5CB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68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08F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80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582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A0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92C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7DD702C"/>
    <w:multiLevelType w:val="hybridMultilevel"/>
    <w:tmpl w:val="1E58704A"/>
    <w:lvl w:ilvl="0" w:tplc="3EACDC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B03F5F"/>
    <w:multiLevelType w:val="hybridMultilevel"/>
    <w:tmpl w:val="BC8E4A7C"/>
    <w:lvl w:ilvl="0" w:tplc="087600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FA9D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B2AF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1024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4805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02E7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8FD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0CBA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7249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64F5D"/>
    <w:multiLevelType w:val="hybridMultilevel"/>
    <w:tmpl w:val="B33804E8"/>
    <w:lvl w:ilvl="0" w:tplc="A210C6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6ACD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58AE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82D9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CE33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EA10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CE94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0643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7E88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B6E26"/>
    <w:multiLevelType w:val="hybridMultilevel"/>
    <w:tmpl w:val="89D4F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341727"/>
    <w:multiLevelType w:val="hybridMultilevel"/>
    <w:tmpl w:val="C9508250"/>
    <w:lvl w:ilvl="0" w:tplc="D304C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A7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09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96C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464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8E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EA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6A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621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578566F"/>
    <w:multiLevelType w:val="hybridMultilevel"/>
    <w:tmpl w:val="71263EA0"/>
    <w:lvl w:ilvl="0" w:tplc="05B2C3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C098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8A8B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F28C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8C43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10A3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C62F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D837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DA6F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13"/>
  </w:num>
  <w:num w:numId="10">
    <w:abstractNumId w:val="4"/>
  </w:num>
  <w:num w:numId="11">
    <w:abstractNumId w:val="10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7442"/>
    <w:rsid w:val="00204CEE"/>
    <w:rsid w:val="00307348"/>
    <w:rsid w:val="003257D0"/>
    <w:rsid w:val="00327E3F"/>
    <w:rsid w:val="005158F1"/>
    <w:rsid w:val="005859B8"/>
    <w:rsid w:val="00626305"/>
    <w:rsid w:val="006A7442"/>
    <w:rsid w:val="007A0CCF"/>
    <w:rsid w:val="00840AB8"/>
    <w:rsid w:val="008A2847"/>
    <w:rsid w:val="009D4345"/>
    <w:rsid w:val="009D449A"/>
    <w:rsid w:val="00A17750"/>
    <w:rsid w:val="00B92E91"/>
    <w:rsid w:val="00BF015C"/>
    <w:rsid w:val="00C96D04"/>
    <w:rsid w:val="00D556F5"/>
    <w:rsid w:val="00DB5003"/>
    <w:rsid w:val="00E71417"/>
    <w:rsid w:val="00EC66FE"/>
    <w:rsid w:val="00EF0800"/>
    <w:rsid w:val="00FB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EAD8D-006C-4242-B0D0-E2EFA893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15C"/>
  </w:style>
  <w:style w:type="paragraph" w:styleId="1">
    <w:name w:val="heading 1"/>
    <w:basedOn w:val="a"/>
    <w:next w:val="a"/>
    <w:link w:val="10"/>
    <w:qFormat/>
    <w:rsid w:val="003257D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442"/>
    <w:pPr>
      <w:ind w:left="720"/>
      <w:contextualSpacing/>
    </w:pPr>
  </w:style>
  <w:style w:type="character" w:customStyle="1" w:styleId="a4">
    <w:name w:val="Основной текст_"/>
    <w:link w:val="4"/>
    <w:locked/>
    <w:rsid w:val="006A744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4"/>
    <w:rsid w:val="006A7442"/>
    <w:pPr>
      <w:widowControl w:val="0"/>
      <w:shd w:val="clear" w:color="auto" w:fill="FFFFFF"/>
      <w:spacing w:after="0" w:line="413" w:lineRule="exact"/>
      <w:ind w:hanging="36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5">
    <w:name w:val="Основной текст + Полужирный"/>
    <w:aliases w:val="Интервал 0 pt"/>
    <w:rsid w:val="006A74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paragraph" w:styleId="a6">
    <w:name w:val="Normal (Web)"/>
    <w:basedOn w:val="a"/>
    <w:uiPriority w:val="99"/>
    <w:unhideWhenUsed/>
    <w:rsid w:val="0062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6305"/>
  </w:style>
  <w:style w:type="character" w:styleId="a7">
    <w:name w:val="Hyperlink"/>
    <w:basedOn w:val="a0"/>
    <w:uiPriority w:val="99"/>
    <w:semiHidden/>
    <w:unhideWhenUsed/>
    <w:rsid w:val="00EF0800"/>
    <w:rPr>
      <w:color w:val="0000FF"/>
      <w:u w:val="single"/>
    </w:rPr>
  </w:style>
  <w:style w:type="character" w:customStyle="1" w:styleId="w">
    <w:name w:val="w"/>
    <w:basedOn w:val="a0"/>
    <w:rsid w:val="00EF0800"/>
  </w:style>
  <w:style w:type="character" w:styleId="a8">
    <w:name w:val="annotation reference"/>
    <w:basedOn w:val="a0"/>
    <w:uiPriority w:val="99"/>
    <w:semiHidden/>
    <w:unhideWhenUsed/>
    <w:rsid w:val="00E714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7141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141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714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7141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7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1417"/>
    <w:rPr>
      <w:rFonts w:ascii="Tahoma" w:hAnsi="Tahoma" w:cs="Tahoma"/>
      <w:sz w:val="16"/>
      <w:szCs w:val="16"/>
    </w:rPr>
  </w:style>
  <w:style w:type="paragraph" w:customStyle="1" w:styleId="web">
    <w:name w:val="web"/>
    <w:basedOn w:val="a"/>
    <w:rsid w:val="00A1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A17750"/>
  </w:style>
  <w:style w:type="character" w:customStyle="1" w:styleId="spelle">
    <w:name w:val="spelle"/>
    <w:basedOn w:val="a0"/>
    <w:rsid w:val="00A17750"/>
  </w:style>
  <w:style w:type="paragraph" w:customStyle="1" w:styleId="txt">
    <w:name w:val="txt"/>
    <w:basedOn w:val="a"/>
    <w:rsid w:val="00A1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257D0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af">
    <w:name w:val="Цветовое выделение"/>
    <w:rsid w:val="003257D0"/>
    <w:rPr>
      <w:b/>
      <w:bCs/>
      <w:color w:val="000080"/>
      <w:sz w:val="20"/>
      <w:szCs w:val="20"/>
    </w:rPr>
  </w:style>
  <w:style w:type="character" w:customStyle="1" w:styleId="af0">
    <w:name w:val="Гипертекстовая ссылка"/>
    <w:rsid w:val="003257D0"/>
    <w:rPr>
      <w:b/>
      <w:bCs/>
      <w:color w:val="008000"/>
      <w:sz w:val="2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3257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28944-6926-4947-AD0F-5749F620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d.a.krjazhev</dc:creator>
  <cp:keywords/>
  <dc:description/>
  <cp:lastModifiedBy>Кряжев Дмитрий Александрович</cp:lastModifiedBy>
  <cp:revision>11</cp:revision>
  <cp:lastPrinted>2020-03-02T06:30:00Z</cp:lastPrinted>
  <dcterms:created xsi:type="dcterms:W3CDTF">2018-01-11T05:08:00Z</dcterms:created>
  <dcterms:modified xsi:type="dcterms:W3CDTF">2020-03-02T06:46:00Z</dcterms:modified>
</cp:coreProperties>
</file>