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Default="00F361C2" w:rsidP="00A25EE3">
      <w:pPr>
        <w:jc w:val="center"/>
        <w:rPr>
          <w:b/>
          <w:sz w:val="28"/>
          <w:szCs w:val="28"/>
          <w:u w:val="single"/>
        </w:rPr>
      </w:pPr>
      <w:r w:rsidRPr="00F361C2">
        <w:rPr>
          <w:b/>
          <w:sz w:val="28"/>
          <w:szCs w:val="28"/>
          <w:u w:val="single"/>
        </w:rPr>
        <w:t>СИНДРОМАЛЬНАЯ ДИАГНОСТИКА В КАРДИОЛОГИИ</w:t>
      </w:r>
    </w:p>
    <w:p w:rsidR="00F361C2" w:rsidRPr="00A25EE3" w:rsidRDefault="00F361C2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31.08.19 ПЕДИАТРИЯ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зования по специальности 31.08.19 «Педиатрия»,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Default="00EC6F48" w:rsidP="00F5136B">
      <w:pPr>
        <w:ind w:firstLine="709"/>
        <w:jc w:val="center"/>
        <w:rPr>
          <w:color w:val="000000"/>
          <w:sz w:val="24"/>
          <w:szCs w:val="24"/>
        </w:rPr>
      </w:pPr>
      <w:r w:rsidRPr="00EC6F48">
        <w:rPr>
          <w:color w:val="000000"/>
          <w:sz w:val="24"/>
          <w:szCs w:val="24"/>
        </w:rPr>
        <w:t>протокол № 11 от «22» июня 2018 г.</w:t>
      </w:r>
    </w:p>
    <w:p w:rsidR="00EC6F48" w:rsidRDefault="00EC6F48" w:rsidP="00F5136B">
      <w:pPr>
        <w:ind w:firstLine="709"/>
        <w:jc w:val="center"/>
        <w:rPr>
          <w:color w:val="000000"/>
          <w:sz w:val="24"/>
          <w:szCs w:val="24"/>
        </w:rPr>
      </w:pPr>
    </w:p>
    <w:p w:rsidR="00EC6F48" w:rsidRPr="004B2C94" w:rsidRDefault="00EC6F48" w:rsidP="00F5136B">
      <w:pPr>
        <w:ind w:firstLine="709"/>
        <w:jc w:val="center"/>
        <w:rPr>
          <w:sz w:val="28"/>
        </w:rPr>
      </w:pPr>
      <w:bookmarkStart w:id="0" w:name="_GoBack"/>
      <w:bookmarkEnd w:id="0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 xml:space="preserve">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171"/>
        <w:gridCol w:w="2666"/>
        <w:gridCol w:w="2145"/>
        <w:gridCol w:w="1963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самостоятельной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при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проведении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CD7F96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CD7F96" w:rsidRPr="00CD7F96">
              <w:rPr>
                <w:sz w:val="26"/>
                <w:szCs w:val="26"/>
              </w:rPr>
              <w:t>Организация раб</w:t>
            </w:r>
            <w:r w:rsidR="00CD7F96" w:rsidRPr="00CD7F96">
              <w:rPr>
                <w:sz w:val="26"/>
                <w:szCs w:val="26"/>
              </w:rPr>
              <w:t>о</w:t>
            </w:r>
            <w:r w:rsidR="00CD7F96" w:rsidRPr="00CD7F96">
              <w:rPr>
                <w:sz w:val="26"/>
                <w:szCs w:val="26"/>
              </w:rPr>
              <w:t xml:space="preserve">ты кардиологической и генетической службы Общие принципы </w:t>
            </w:r>
            <w:proofErr w:type="spellStart"/>
            <w:r w:rsidR="00CD7F96" w:rsidRPr="00CD7F96">
              <w:rPr>
                <w:sz w:val="26"/>
                <w:szCs w:val="26"/>
              </w:rPr>
              <w:t>си</w:t>
            </w:r>
            <w:r w:rsidR="001F061C">
              <w:rPr>
                <w:sz w:val="26"/>
                <w:szCs w:val="26"/>
              </w:rPr>
              <w:t>н</w:t>
            </w:r>
            <w:r w:rsidR="00CD7F96" w:rsidRPr="00CD7F96">
              <w:rPr>
                <w:sz w:val="26"/>
                <w:szCs w:val="26"/>
              </w:rPr>
              <w:t>дромальной</w:t>
            </w:r>
            <w:proofErr w:type="spellEnd"/>
            <w:r w:rsidR="00CD7F96" w:rsidRPr="00CD7F96">
              <w:rPr>
                <w:sz w:val="26"/>
                <w:szCs w:val="26"/>
              </w:rPr>
              <w:t xml:space="preserve"> кардиологии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FA01E6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</w:t>
            </w:r>
            <w:r w:rsidRPr="00A25EE3">
              <w:rPr>
                <w:sz w:val="26"/>
                <w:szCs w:val="26"/>
              </w:rPr>
              <w:t>л</w:t>
            </w:r>
            <w:r w:rsidRPr="00A25EE3">
              <w:rPr>
                <w:sz w:val="26"/>
                <w:szCs w:val="26"/>
              </w:rPr>
              <w:t>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нет – официальные сайты професси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нальных ассоциаций – разделы клинич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</w:t>
            </w:r>
            <w:r w:rsidRPr="00A25EE3"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мативными докуме</w:t>
            </w:r>
            <w:r w:rsidRPr="00A25EE3">
              <w:rPr>
                <w:sz w:val="26"/>
                <w:szCs w:val="26"/>
              </w:rPr>
              <w:t>н</w:t>
            </w:r>
            <w:r w:rsidR="00FA01E6">
              <w:rPr>
                <w:sz w:val="26"/>
                <w:szCs w:val="26"/>
              </w:rPr>
              <w:t>тами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CD7F96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CD7F96" w:rsidRPr="00CD7F96">
              <w:rPr>
                <w:sz w:val="26"/>
                <w:szCs w:val="26"/>
              </w:rPr>
              <w:t>Синдром тахика</w:t>
            </w:r>
            <w:r w:rsidR="00CD7F96" w:rsidRPr="00CD7F96">
              <w:rPr>
                <w:sz w:val="26"/>
                <w:szCs w:val="26"/>
              </w:rPr>
              <w:t>р</w:t>
            </w:r>
            <w:r w:rsidR="00CD7F96" w:rsidRPr="00CD7F96">
              <w:rPr>
                <w:sz w:val="26"/>
                <w:szCs w:val="26"/>
              </w:rPr>
              <w:t>дии Синдром брадика</w:t>
            </w:r>
            <w:r w:rsidR="00CD7F96" w:rsidRPr="00CD7F96">
              <w:rPr>
                <w:sz w:val="26"/>
                <w:szCs w:val="26"/>
              </w:rPr>
              <w:t>р</w:t>
            </w:r>
            <w:r w:rsidR="00CD7F96" w:rsidRPr="00CD7F96">
              <w:rPr>
                <w:sz w:val="26"/>
                <w:szCs w:val="26"/>
              </w:rPr>
              <w:t>дии Синдром слабости синусового узла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FA01E6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сурсов Интернет – официальные сайты профессиональных ассоциаций – разделы клинических рек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</w:t>
            </w:r>
            <w:r w:rsidRPr="00A25EE3">
              <w:rPr>
                <w:sz w:val="26"/>
                <w:szCs w:val="26"/>
              </w:rPr>
              <w:t>ы</w:t>
            </w:r>
            <w:r w:rsidR="00FA01E6">
              <w:rPr>
                <w:sz w:val="26"/>
                <w:szCs w:val="26"/>
              </w:rPr>
              <w:t>ми документами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FA01E6" w:rsidRPr="00A25EE3" w:rsidTr="00A25EE3">
        <w:tc>
          <w:tcPr>
            <w:tcW w:w="0" w:type="auto"/>
            <w:shd w:val="clear" w:color="auto" w:fill="auto"/>
          </w:tcPr>
          <w:p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A01E6" w:rsidRPr="00A25EE3" w:rsidRDefault="00FA01E6" w:rsidP="00CD7F96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CD7F96">
              <w:rPr>
                <w:sz w:val="26"/>
                <w:szCs w:val="26"/>
              </w:rPr>
              <w:t>Синдром удлинё</w:t>
            </w:r>
            <w:r w:rsidRPr="00CD7F96">
              <w:rPr>
                <w:sz w:val="26"/>
                <w:szCs w:val="26"/>
              </w:rPr>
              <w:t>н</w:t>
            </w:r>
            <w:r w:rsidRPr="00CD7F96">
              <w:rPr>
                <w:sz w:val="26"/>
                <w:szCs w:val="26"/>
              </w:rPr>
              <w:t>ного и укороченного и</w:t>
            </w:r>
            <w:r w:rsidRPr="00CD7F96">
              <w:rPr>
                <w:sz w:val="26"/>
                <w:szCs w:val="26"/>
              </w:rPr>
              <w:t>н</w:t>
            </w:r>
            <w:r w:rsidRPr="00CD7F96">
              <w:rPr>
                <w:sz w:val="26"/>
                <w:szCs w:val="26"/>
              </w:rPr>
              <w:t>тервала QT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сурсов Интернет – официальные сайты профессиональных ассоциаций – разделы клинических рек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</w:t>
            </w:r>
            <w:r w:rsidRPr="00A25EE3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ми документами</w:t>
            </w:r>
          </w:p>
        </w:tc>
        <w:tc>
          <w:tcPr>
            <w:tcW w:w="0" w:type="auto"/>
            <w:shd w:val="clear" w:color="auto" w:fill="auto"/>
          </w:tcPr>
          <w:p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FA01E6" w:rsidRPr="00A25EE3" w:rsidTr="00A25EE3">
        <w:tc>
          <w:tcPr>
            <w:tcW w:w="0" w:type="auto"/>
            <w:shd w:val="clear" w:color="auto" w:fill="auto"/>
          </w:tcPr>
          <w:p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A01E6" w:rsidRPr="00A25EE3" w:rsidRDefault="00FA01E6" w:rsidP="00CD7F96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CD7F96">
              <w:rPr>
                <w:sz w:val="26"/>
                <w:szCs w:val="26"/>
              </w:rPr>
              <w:t xml:space="preserve">Синдром </w:t>
            </w:r>
            <w:proofErr w:type="spellStart"/>
            <w:r w:rsidRPr="00CD7F96">
              <w:rPr>
                <w:sz w:val="26"/>
                <w:szCs w:val="26"/>
              </w:rPr>
              <w:t>Бланда</w:t>
            </w:r>
            <w:proofErr w:type="spellEnd"/>
            <w:r w:rsidRPr="00CD7F96">
              <w:rPr>
                <w:sz w:val="26"/>
                <w:szCs w:val="26"/>
              </w:rPr>
              <w:t>-Уайта-</w:t>
            </w:r>
            <w:proofErr w:type="spellStart"/>
            <w:r w:rsidRPr="00CD7F96">
              <w:rPr>
                <w:sz w:val="26"/>
                <w:szCs w:val="26"/>
              </w:rPr>
              <w:t>Горленда</w:t>
            </w:r>
            <w:proofErr w:type="spellEnd"/>
            <w:r w:rsidRPr="00CD7F96">
              <w:rPr>
                <w:sz w:val="26"/>
                <w:szCs w:val="26"/>
              </w:rPr>
              <w:t xml:space="preserve">, Синдром </w:t>
            </w:r>
            <w:proofErr w:type="spellStart"/>
            <w:r w:rsidRPr="00CD7F96">
              <w:rPr>
                <w:sz w:val="26"/>
                <w:szCs w:val="26"/>
              </w:rPr>
              <w:t>Эйзенменгера</w:t>
            </w:r>
            <w:proofErr w:type="spellEnd"/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lastRenderedPageBreak/>
              <w:t>сурсов Интернет – официальные сайты профессиональных ассоциаций – разделы клинических рек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</w:t>
            </w:r>
            <w:r w:rsidRPr="00A25EE3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ми документами</w:t>
            </w:r>
          </w:p>
        </w:tc>
        <w:tc>
          <w:tcPr>
            <w:tcW w:w="0" w:type="auto"/>
            <w:shd w:val="clear" w:color="auto" w:fill="auto"/>
          </w:tcPr>
          <w:p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FA01E6" w:rsidRPr="00A25EE3" w:rsidTr="00A25EE3">
        <w:tc>
          <w:tcPr>
            <w:tcW w:w="0" w:type="auto"/>
            <w:shd w:val="clear" w:color="auto" w:fill="auto"/>
          </w:tcPr>
          <w:p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FA01E6" w:rsidRPr="00A25EE3" w:rsidRDefault="00FA01E6" w:rsidP="00CD7F96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CD7F96">
              <w:rPr>
                <w:sz w:val="26"/>
                <w:szCs w:val="26"/>
              </w:rPr>
              <w:t>Синдром гипопл</w:t>
            </w:r>
            <w:r w:rsidRPr="00CD7F96">
              <w:rPr>
                <w:sz w:val="26"/>
                <w:szCs w:val="26"/>
              </w:rPr>
              <w:t>а</w:t>
            </w:r>
            <w:r w:rsidRPr="00CD7F96">
              <w:rPr>
                <w:sz w:val="26"/>
                <w:szCs w:val="26"/>
              </w:rPr>
              <w:t>зии</w:t>
            </w:r>
            <w:r>
              <w:rPr>
                <w:sz w:val="26"/>
                <w:szCs w:val="26"/>
              </w:rPr>
              <w:t xml:space="preserve"> и гиперплазии</w:t>
            </w:r>
            <w:r w:rsidRPr="00CD7F96">
              <w:rPr>
                <w:sz w:val="26"/>
                <w:szCs w:val="26"/>
              </w:rPr>
              <w:t xml:space="preserve"> левого желудочка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сурсов Интернет – официальные сайты профессиональных ассоциаций – разделы клинических рек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</w:t>
            </w:r>
            <w:r w:rsidRPr="00A25EE3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ми документами</w:t>
            </w:r>
          </w:p>
        </w:tc>
        <w:tc>
          <w:tcPr>
            <w:tcW w:w="0" w:type="auto"/>
            <w:shd w:val="clear" w:color="auto" w:fill="auto"/>
          </w:tcPr>
          <w:p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FA01E6" w:rsidRPr="00A25EE3" w:rsidRDefault="00FA01E6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FA01E6" w:rsidRPr="00A25EE3" w:rsidTr="00CD7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CD7F96">
              <w:rPr>
                <w:sz w:val="26"/>
                <w:szCs w:val="26"/>
              </w:rPr>
              <w:t xml:space="preserve">Синдром </w:t>
            </w:r>
            <w:proofErr w:type="spellStart"/>
            <w:r w:rsidRPr="00CD7F96">
              <w:rPr>
                <w:sz w:val="26"/>
                <w:szCs w:val="26"/>
              </w:rPr>
              <w:t>Марфана</w:t>
            </w:r>
            <w:proofErr w:type="spellEnd"/>
            <w:r w:rsidRPr="00CD7F96">
              <w:rPr>
                <w:sz w:val="26"/>
                <w:szCs w:val="26"/>
              </w:rPr>
              <w:t xml:space="preserve">, Синдром </w:t>
            </w:r>
            <w:proofErr w:type="spellStart"/>
            <w:r w:rsidRPr="00CD7F96">
              <w:rPr>
                <w:sz w:val="26"/>
                <w:szCs w:val="26"/>
              </w:rPr>
              <w:t>Элерса-Данло</w:t>
            </w:r>
            <w:proofErr w:type="spellEnd"/>
            <w:r w:rsidRPr="00CD7F96">
              <w:rPr>
                <w:sz w:val="26"/>
                <w:szCs w:val="26"/>
              </w:rPr>
              <w:t xml:space="preserve">, Несовершенный </w:t>
            </w:r>
            <w:proofErr w:type="spellStart"/>
            <w:r w:rsidRPr="00CD7F96">
              <w:rPr>
                <w:sz w:val="26"/>
                <w:szCs w:val="26"/>
              </w:rPr>
              <w:t>остеог</w:t>
            </w:r>
            <w:r w:rsidRPr="00CD7F96">
              <w:rPr>
                <w:sz w:val="26"/>
                <w:szCs w:val="26"/>
              </w:rPr>
              <w:t>е</w:t>
            </w:r>
            <w:r w:rsidRPr="00CD7F96">
              <w:rPr>
                <w:sz w:val="26"/>
                <w:szCs w:val="26"/>
              </w:rPr>
              <w:t>нез</w:t>
            </w:r>
            <w:proofErr w:type="spellEnd"/>
            <w:r w:rsidRPr="00CD7F96">
              <w:rPr>
                <w:sz w:val="26"/>
                <w:szCs w:val="26"/>
              </w:rPr>
              <w:t>, Синдром недифф</w:t>
            </w:r>
            <w:r w:rsidRPr="00CD7F96">
              <w:rPr>
                <w:sz w:val="26"/>
                <w:szCs w:val="26"/>
              </w:rPr>
              <w:t>е</w:t>
            </w:r>
            <w:r w:rsidRPr="00CD7F96">
              <w:rPr>
                <w:sz w:val="26"/>
                <w:szCs w:val="26"/>
              </w:rPr>
              <w:t>ренцированной дисплазии соединительной ткани. Изолированные диспл</w:t>
            </w:r>
            <w:r w:rsidRPr="00CD7F96">
              <w:rPr>
                <w:sz w:val="26"/>
                <w:szCs w:val="26"/>
              </w:rPr>
              <w:t>а</w:t>
            </w:r>
            <w:r w:rsidRPr="00CD7F96">
              <w:rPr>
                <w:sz w:val="26"/>
                <w:szCs w:val="26"/>
              </w:rPr>
              <w:t>зии сердца. Пролапс ми</w:t>
            </w:r>
            <w:r w:rsidRPr="00CD7F96">
              <w:rPr>
                <w:sz w:val="26"/>
                <w:szCs w:val="26"/>
              </w:rPr>
              <w:t>т</w:t>
            </w:r>
            <w:r w:rsidRPr="00CD7F96">
              <w:rPr>
                <w:sz w:val="26"/>
                <w:szCs w:val="26"/>
              </w:rPr>
              <w:t>рального клапана семе</w:t>
            </w:r>
            <w:r w:rsidRPr="00CD7F96">
              <w:rPr>
                <w:sz w:val="26"/>
                <w:szCs w:val="26"/>
              </w:rPr>
              <w:t>й</w:t>
            </w:r>
            <w:r w:rsidRPr="00CD7F96">
              <w:rPr>
                <w:sz w:val="26"/>
                <w:szCs w:val="26"/>
              </w:rPr>
              <w:t>ный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сурсов Интернет – официальные сайты профессиональных ассоциаций – разделы клинических рек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</w:t>
            </w:r>
            <w:r w:rsidRPr="00A25EE3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FA01E6" w:rsidRPr="00A25EE3" w:rsidTr="00CD7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CD7F96">
              <w:rPr>
                <w:sz w:val="26"/>
                <w:szCs w:val="26"/>
              </w:rPr>
              <w:t>Синдром Кавас</w:t>
            </w:r>
            <w:r w:rsidRPr="00CD7F96">
              <w:rPr>
                <w:sz w:val="26"/>
                <w:szCs w:val="26"/>
              </w:rPr>
              <w:t>а</w:t>
            </w:r>
            <w:r w:rsidRPr="00CD7F96">
              <w:rPr>
                <w:sz w:val="26"/>
                <w:szCs w:val="26"/>
              </w:rPr>
              <w:t>ки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сурсов Интернет – официальные сайты профессиональных ассоциаций – разделы клинических рек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</w:t>
            </w:r>
            <w:r w:rsidRPr="00A25EE3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FA01E6" w:rsidRPr="00A25EE3" w:rsidTr="00CD7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EF529E">
              <w:rPr>
                <w:sz w:val="26"/>
                <w:szCs w:val="26"/>
              </w:rPr>
              <w:t>Синдромы прежд</w:t>
            </w:r>
            <w:r w:rsidRPr="00EF529E">
              <w:rPr>
                <w:sz w:val="26"/>
                <w:szCs w:val="26"/>
              </w:rPr>
              <w:t>е</w:t>
            </w:r>
            <w:r w:rsidRPr="00EF529E">
              <w:rPr>
                <w:sz w:val="26"/>
                <w:szCs w:val="26"/>
              </w:rPr>
              <w:t>временного возбуждения желудочков Синдром Вольфа—Паркинсона—Уайта (WPW), тип А. Синдром Вольфа—</w:t>
            </w:r>
            <w:r w:rsidRPr="00EF529E">
              <w:rPr>
                <w:sz w:val="26"/>
                <w:szCs w:val="26"/>
              </w:rPr>
              <w:lastRenderedPageBreak/>
              <w:t xml:space="preserve">Паркинсона—Уайта (WPW), тип В. Синдром </w:t>
            </w:r>
            <w:proofErr w:type="spellStart"/>
            <w:r w:rsidRPr="00EF529E">
              <w:rPr>
                <w:sz w:val="26"/>
                <w:szCs w:val="26"/>
              </w:rPr>
              <w:t>Лаун</w:t>
            </w:r>
            <w:proofErr w:type="spellEnd"/>
            <w:r w:rsidRPr="00EF529E">
              <w:rPr>
                <w:sz w:val="26"/>
                <w:szCs w:val="26"/>
              </w:rPr>
              <w:t>—</w:t>
            </w:r>
            <w:proofErr w:type="spellStart"/>
            <w:r w:rsidRPr="00EF529E">
              <w:rPr>
                <w:sz w:val="26"/>
                <w:szCs w:val="26"/>
              </w:rPr>
              <w:t>Генон</w:t>
            </w:r>
            <w:proofErr w:type="spellEnd"/>
            <w:r w:rsidRPr="00EF529E">
              <w:rPr>
                <w:sz w:val="26"/>
                <w:szCs w:val="26"/>
              </w:rPr>
              <w:t>—</w:t>
            </w:r>
            <w:proofErr w:type="spellStart"/>
            <w:r w:rsidRPr="00EF529E">
              <w:rPr>
                <w:sz w:val="26"/>
                <w:szCs w:val="26"/>
              </w:rPr>
              <w:t>Ливайна</w:t>
            </w:r>
            <w:proofErr w:type="spellEnd"/>
            <w:r w:rsidRPr="00EF529E">
              <w:rPr>
                <w:sz w:val="26"/>
                <w:szCs w:val="26"/>
              </w:rPr>
              <w:t xml:space="preserve">, синдром </w:t>
            </w:r>
            <w:proofErr w:type="spellStart"/>
            <w:r w:rsidRPr="00EF529E">
              <w:rPr>
                <w:sz w:val="26"/>
                <w:szCs w:val="26"/>
              </w:rPr>
              <w:t>Бругада</w:t>
            </w:r>
            <w:proofErr w:type="spellEnd"/>
            <w:r w:rsidRPr="00EF529E">
              <w:rPr>
                <w:sz w:val="26"/>
                <w:szCs w:val="26"/>
              </w:rPr>
              <w:t>.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 xml:space="preserve">сурсов Интернет – официальные сайты </w:t>
            </w:r>
            <w:r w:rsidRPr="00A25EE3">
              <w:rPr>
                <w:sz w:val="26"/>
                <w:szCs w:val="26"/>
              </w:rPr>
              <w:lastRenderedPageBreak/>
              <w:t>профессиональных ассоциаций – разделы клинических рек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</w:t>
            </w:r>
            <w:r w:rsidRPr="00A25EE3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lastRenderedPageBreak/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Внеаудиторная – КСР, на базе практической подготовки</w:t>
            </w:r>
          </w:p>
        </w:tc>
      </w:tr>
      <w:tr w:rsidR="00FA01E6" w:rsidRPr="00A25EE3" w:rsidTr="00CD7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3F3B02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EF529E">
              <w:rPr>
                <w:sz w:val="26"/>
                <w:szCs w:val="26"/>
              </w:rPr>
              <w:t>Синдром артер</w:t>
            </w:r>
            <w:r w:rsidRPr="00EF529E">
              <w:rPr>
                <w:sz w:val="26"/>
                <w:szCs w:val="26"/>
              </w:rPr>
              <w:t>и</w:t>
            </w:r>
            <w:r w:rsidRPr="00EF529E">
              <w:rPr>
                <w:sz w:val="26"/>
                <w:szCs w:val="26"/>
              </w:rPr>
              <w:t>альной гипертензии. А</w:t>
            </w:r>
            <w:r w:rsidRPr="00EF529E">
              <w:rPr>
                <w:sz w:val="26"/>
                <w:szCs w:val="26"/>
              </w:rPr>
              <w:t>д</w:t>
            </w:r>
            <w:r w:rsidRPr="00EF529E">
              <w:rPr>
                <w:sz w:val="26"/>
                <w:szCs w:val="26"/>
              </w:rPr>
              <w:t>реногенитальный си</w:t>
            </w:r>
            <w:r w:rsidRPr="00EF529E">
              <w:rPr>
                <w:sz w:val="26"/>
                <w:szCs w:val="26"/>
              </w:rPr>
              <w:t>н</w:t>
            </w:r>
            <w:r w:rsidRPr="00EF529E">
              <w:rPr>
                <w:sz w:val="26"/>
                <w:szCs w:val="26"/>
              </w:rPr>
              <w:t>дром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сурсов Интернет – официальные сайты профессиональных ассоциаций – разделы клинических рек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</w:t>
            </w:r>
            <w:r w:rsidRPr="00A25EE3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FA01E6" w:rsidRPr="00A25EE3" w:rsidTr="00CD7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EF529E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proofErr w:type="spellStart"/>
            <w:r>
              <w:rPr>
                <w:sz w:val="26"/>
                <w:szCs w:val="26"/>
              </w:rPr>
              <w:t>Кардиомиопатии</w:t>
            </w:r>
            <w:proofErr w:type="spellEnd"/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сурсов Интернет – официальные сайты профессиональных ассоциаций – разделы клинических рек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</w:t>
            </w:r>
            <w:r w:rsidRPr="00A25EE3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FA01E6" w:rsidRPr="00A25EE3" w:rsidTr="00CD7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Pr="00EF529E">
              <w:rPr>
                <w:sz w:val="26"/>
                <w:szCs w:val="26"/>
                <w:lang w:val="en-US"/>
              </w:rPr>
              <w:t xml:space="preserve"> «MASS-</w:t>
            </w:r>
            <w:r w:rsidRPr="00EF529E">
              <w:rPr>
                <w:sz w:val="26"/>
                <w:szCs w:val="26"/>
              </w:rPr>
              <w:t>синдром</w:t>
            </w:r>
            <w:r w:rsidRPr="00EF529E">
              <w:rPr>
                <w:sz w:val="26"/>
                <w:szCs w:val="26"/>
                <w:lang w:val="en-US"/>
              </w:rPr>
              <w:t xml:space="preserve">. Cutis </w:t>
            </w:r>
            <w:proofErr w:type="spellStart"/>
            <w:r w:rsidRPr="00EF529E">
              <w:rPr>
                <w:sz w:val="26"/>
                <w:szCs w:val="26"/>
                <w:lang w:val="en-US"/>
              </w:rPr>
              <w:t>laxa</w:t>
            </w:r>
            <w:proofErr w:type="spellEnd"/>
            <w:r w:rsidRPr="00EF529E">
              <w:rPr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EF529E">
              <w:rPr>
                <w:sz w:val="26"/>
                <w:szCs w:val="26"/>
              </w:rPr>
              <w:t>Прадера</w:t>
            </w:r>
            <w:proofErr w:type="spellEnd"/>
            <w:r w:rsidRPr="00EF529E">
              <w:rPr>
                <w:sz w:val="26"/>
                <w:szCs w:val="26"/>
              </w:rPr>
              <w:t>-Вилли синдром. Синдром вялого ребенка.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сурсов Интернет – официальные сайты профессиональных ассоциаций – разделы клинических рек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</w:t>
            </w:r>
            <w:r w:rsidRPr="00A25EE3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FA01E6" w:rsidRPr="00A25EE3" w:rsidTr="00CD7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1F061C">
              <w:rPr>
                <w:sz w:val="26"/>
                <w:szCs w:val="26"/>
              </w:rPr>
              <w:t>Синдром наруш</w:t>
            </w:r>
            <w:r w:rsidRPr="001F061C">
              <w:rPr>
                <w:sz w:val="26"/>
                <w:szCs w:val="26"/>
              </w:rPr>
              <w:t>е</w:t>
            </w:r>
            <w:r w:rsidRPr="001F061C">
              <w:rPr>
                <w:sz w:val="26"/>
                <w:szCs w:val="26"/>
              </w:rPr>
              <w:t>ния клапанного аппарата сердца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 xml:space="preserve">сурсов Интернет – официальные сайты профессиональных ассоциаций – разделы </w:t>
            </w:r>
            <w:r w:rsidRPr="00A25EE3">
              <w:rPr>
                <w:sz w:val="26"/>
                <w:szCs w:val="26"/>
              </w:rPr>
              <w:lastRenderedPageBreak/>
              <w:t>клинических рек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</w:t>
            </w:r>
            <w:r w:rsidRPr="00A25EE3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CD7F96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FA01E6" w:rsidRPr="00A25EE3" w:rsidTr="00CD7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EF529E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EF529E">
              <w:rPr>
                <w:sz w:val="26"/>
                <w:szCs w:val="26"/>
              </w:rPr>
              <w:t>Синдром кароти</w:t>
            </w:r>
            <w:r w:rsidRPr="00EF529E">
              <w:rPr>
                <w:sz w:val="26"/>
                <w:szCs w:val="26"/>
              </w:rPr>
              <w:t>д</w:t>
            </w:r>
            <w:r w:rsidRPr="00EF529E">
              <w:rPr>
                <w:sz w:val="26"/>
                <w:szCs w:val="26"/>
              </w:rPr>
              <w:t>ного синуса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сурсов Интернет – официальные сайты профессиональных ассоциаций – разделы клинических рек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</w:t>
            </w:r>
            <w:r w:rsidRPr="00A25EE3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1F061C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FA01E6" w:rsidRPr="00A25EE3" w:rsidTr="00CD7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Default="00FA01E6" w:rsidP="00CD7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1F061C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proofErr w:type="spellStart"/>
            <w:r w:rsidRPr="00EF529E">
              <w:rPr>
                <w:sz w:val="26"/>
                <w:szCs w:val="26"/>
              </w:rPr>
              <w:t>Картагенера</w:t>
            </w:r>
            <w:proofErr w:type="spellEnd"/>
            <w:r w:rsidRPr="00EF529E">
              <w:rPr>
                <w:sz w:val="26"/>
                <w:szCs w:val="26"/>
              </w:rPr>
              <w:t xml:space="preserve"> си</w:t>
            </w:r>
            <w:r w:rsidRPr="00EF529E">
              <w:rPr>
                <w:sz w:val="26"/>
                <w:szCs w:val="26"/>
              </w:rPr>
              <w:t>н</w:t>
            </w:r>
            <w:r w:rsidRPr="00EF529E">
              <w:rPr>
                <w:sz w:val="26"/>
                <w:szCs w:val="26"/>
              </w:rPr>
              <w:t>дром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ной и дополнител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 литературы, р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сурсов Интернет – официальные сайты профессиональных ассоциаций – разделы клинических рек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</w:t>
            </w:r>
            <w:r w:rsidRPr="00A25EE3">
              <w:rPr>
                <w:sz w:val="26"/>
                <w:szCs w:val="26"/>
              </w:rPr>
              <w:t>м</w:t>
            </w:r>
            <w:r w:rsidRPr="00A25EE3">
              <w:rPr>
                <w:sz w:val="26"/>
                <w:szCs w:val="26"/>
              </w:rPr>
              <w:t>ление с нормативн</w:t>
            </w:r>
            <w:r w:rsidRPr="00A25EE3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FA01E6" w:rsidRPr="00A25EE3" w:rsidRDefault="00FA01E6" w:rsidP="00A14A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E6" w:rsidRPr="00A25EE3" w:rsidRDefault="00FA01E6" w:rsidP="001F061C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</w:t>
      </w:r>
      <w:r w:rsidRPr="00B13647">
        <w:rPr>
          <w:sz w:val="28"/>
        </w:rPr>
        <w:lastRenderedPageBreak/>
        <w:t>собственного опыта) в письменном виде.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2418CE" w:rsidRDefault="002418CE" w:rsidP="00B13647">
      <w:pPr>
        <w:ind w:firstLine="709"/>
        <w:jc w:val="center"/>
        <w:rPr>
          <w:b/>
          <w:sz w:val="28"/>
        </w:rPr>
      </w:pPr>
    </w:p>
    <w:p w:rsidR="002418CE" w:rsidRDefault="002418CE" w:rsidP="00B13647">
      <w:pPr>
        <w:ind w:firstLine="709"/>
        <w:jc w:val="center"/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>по каждой теме дисциплины. Цель тестов: проверка усвоения теоретического матери</w:t>
      </w:r>
      <w:r w:rsidRPr="00B13647">
        <w:rPr>
          <w:sz w:val="28"/>
        </w:rPr>
        <w:t>а</w:t>
      </w:r>
      <w:r w:rsidRPr="00B13647">
        <w:rPr>
          <w:sz w:val="28"/>
        </w:rPr>
        <w:t>ла дисциплины (содержания и объема общих и специальных понятий, терминол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средств для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>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успешной сдачи теста является количество правильных отв</w:t>
      </w:r>
      <w:r>
        <w:rPr>
          <w:sz w:val="28"/>
        </w:rPr>
        <w:t>е</w:t>
      </w:r>
      <w:r>
        <w:rPr>
          <w:sz w:val="28"/>
        </w:rPr>
        <w:t xml:space="preserve">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индивидуального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0EBE95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C9F7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509" w:rsidRDefault="004B6509" w:rsidP="00FD5B6B">
      <w:r>
        <w:separator/>
      </w:r>
    </w:p>
  </w:endnote>
  <w:endnote w:type="continuationSeparator" w:id="0">
    <w:p w:rsidR="004B6509" w:rsidRDefault="004B6509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1C" w:rsidRDefault="001F061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C6F48">
      <w:rPr>
        <w:noProof/>
      </w:rPr>
      <w:t>2</w:t>
    </w:r>
    <w:r>
      <w:fldChar w:fldCharType="end"/>
    </w:r>
  </w:p>
  <w:p w:rsidR="001F061C" w:rsidRDefault="001F061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509" w:rsidRDefault="004B6509" w:rsidP="00FD5B6B">
      <w:r>
        <w:separator/>
      </w:r>
    </w:p>
  </w:footnote>
  <w:footnote w:type="continuationSeparator" w:id="0">
    <w:p w:rsidR="004B6509" w:rsidRDefault="004B6509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177287"/>
    <w:rsid w:val="001F061C"/>
    <w:rsid w:val="001F5EE1"/>
    <w:rsid w:val="002418CE"/>
    <w:rsid w:val="0026698D"/>
    <w:rsid w:val="002A4EB6"/>
    <w:rsid w:val="002D2784"/>
    <w:rsid w:val="003B5F75"/>
    <w:rsid w:val="003C37BE"/>
    <w:rsid w:val="003F3B02"/>
    <w:rsid w:val="00471E10"/>
    <w:rsid w:val="00476000"/>
    <w:rsid w:val="004B2C94"/>
    <w:rsid w:val="004B6509"/>
    <w:rsid w:val="004C1386"/>
    <w:rsid w:val="004D1091"/>
    <w:rsid w:val="005677BE"/>
    <w:rsid w:val="00582BA5"/>
    <w:rsid w:val="00593334"/>
    <w:rsid w:val="006847B8"/>
    <w:rsid w:val="00693E11"/>
    <w:rsid w:val="006D03B2"/>
    <w:rsid w:val="006F14A4"/>
    <w:rsid w:val="006F7AD8"/>
    <w:rsid w:val="00742208"/>
    <w:rsid w:val="00755609"/>
    <w:rsid w:val="0079237F"/>
    <w:rsid w:val="008113A5"/>
    <w:rsid w:val="00832D24"/>
    <w:rsid w:val="00845C7D"/>
    <w:rsid w:val="00866D6D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A3E75"/>
    <w:rsid w:val="00BF1CD1"/>
    <w:rsid w:val="00C35B2E"/>
    <w:rsid w:val="00C83AB7"/>
    <w:rsid w:val="00CD7F96"/>
    <w:rsid w:val="00D06B87"/>
    <w:rsid w:val="00D33524"/>
    <w:rsid w:val="00D35869"/>
    <w:rsid w:val="00D471E6"/>
    <w:rsid w:val="00E57C66"/>
    <w:rsid w:val="00EC6F48"/>
    <w:rsid w:val="00ED5915"/>
    <w:rsid w:val="00EF529E"/>
    <w:rsid w:val="00F0689E"/>
    <w:rsid w:val="00F361C2"/>
    <w:rsid w:val="00F44E53"/>
    <w:rsid w:val="00F5136B"/>
    <w:rsid w:val="00F55788"/>
    <w:rsid w:val="00F8248C"/>
    <w:rsid w:val="00F8739C"/>
    <w:rsid w:val="00F922E9"/>
    <w:rsid w:val="00FA01E6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3765</Words>
  <Characters>21466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Кафедра</cp:lastModifiedBy>
  <cp:revision>17</cp:revision>
  <dcterms:created xsi:type="dcterms:W3CDTF">2019-02-04T05:01:00Z</dcterms:created>
  <dcterms:modified xsi:type="dcterms:W3CDTF">2019-05-27T04:14:00Z</dcterms:modified>
</cp:coreProperties>
</file>