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53546F">
        <w:rPr>
          <w:b/>
          <w:caps/>
          <w:sz w:val="28"/>
        </w:rPr>
        <w:t xml:space="preserve"> </w:t>
      </w:r>
      <w:r w:rsidR="0053546F" w:rsidRPr="0053546F">
        <w:rPr>
          <w:b/>
          <w:caps/>
          <w:sz w:val="28"/>
        </w:rPr>
        <w:t>по аллергологии и иммунологии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F22947" w:rsidP="009B1164">
      <w:pPr>
        <w:jc w:val="center"/>
        <w:rPr>
          <w:sz w:val="24"/>
          <w:szCs w:val="24"/>
        </w:rPr>
      </w:pPr>
      <w:r w:rsidRPr="00F22947">
        <w:rPr>
          <w:i/>
          <w:sz w:val="28"/>
        </w:rPr>
        <w:t>31.08.26 Аллергология и иммунология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F22947" w:rsidRPr="00F22947">
        <w:rPr>
          <w:i/>
          <w:color w:val="000000"/>
          <w:sz w:val="24"/>
          <w:szCs w:val="24"/>
        </w:rPr>
        <w:t>31.08.26 Аллергология и иммунология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lastRenderedPageBreak/>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w:t>
            </w:r>
            <w:r w:rsidR="003C1B0A" w:rsidRPr="003C1B0A">
              <w:rPr>
                <w:color w:val="000000"/>
                <w:sz w:val="28"/>
                <w:szCs w:val="28"/>
              </w:rPr>
              <w:lastRenderedPageBreak/>
              <w:t>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lastRenderedPageBreak/>
              <w:t xml:space="preserve">работа с </w:t>
            </w:r>
            <w:r w:rsidR="007B21C4">
              <w:rPr>
                <w:sz w:val="28"/>
                <w:szCs w:val="28"/>
              </w:rPr>
              <w:t>учеб</w:t>
            </w:r>
            <w:r w:rsidR="007B21C4">
              <w:rPr>
                <w:sz w:val="28"/>
                <w:szCs w:val="28"/>
              </w:rPr>
              <w:lastRenderedPageBreak/>
              <w:t>ным материалом</w:t>
            </w:r>
          </w:p>
        </w:tc>
        <w:tc>
          <w:tcPr>
            <w:tcW w:w="2287" w:type="dxa"/>
          </w:tcPr>
          <w:p w:rsidR="00BC63F0" w:rsidRPr="0076581E" w:rsidRDefault="007B21C4" w:rsidP="00181082">
            <w:pPr>
              <w:rPr>
                <w:sz w:val="28"/>
                <w:szCs w:val="28"/>
              </w:rPr>
            </w:pPr>
            <w:r>
              <w:rPr>
                <w:sz w:val="28"/>
                <w:szCs w:val="28"/>
              </w:rPr>
              <w:lastRenderedPageBreak/>
              <w:t>Письменный</w:t>
            </w:r>
            <w:r w:rsidR="00BC63F0" w:rsidRPr="0076581E">
              <w:rPr>
                <w:sz w:val="28"/>
                <w:szCs w:val="28"/>
              </w:rPr>
              <w:t xml:space="preserve"> </w:t>
            </w:r>
            <w:r w:rsidR="00BC63F0" w:rsidRPr="0076581E">
              <w:rPr>
                <w:sz w:val="28"/>
                <w:szCs w:val="28"/>
              </w:rPr>
              <w:lastRenderedPageBreak/>
              <w:t>опрос, тестирование</w:t>
            </w:r>
          </w:p>
        </w:tc>
        <w:tc>
          <w:tcPr>
            <w:tcW w:w="1959" w:type="dxa"/>
          </w:tcPr>
          <w:p w:rsidR="00BC63F0" w:rsidRPr="00181082" w:rsidRDefault="00BC63F0" w:rsidP="00181082">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 xml:space="preserve">Синдром </w:t>
            </w:r>
            <w:r w:rsidRPr="003C1B0A">
              <w:rPr>
                <w:color w:val="000000"/>
                <w:sz w:val="28"/>
                <w:szCs w:val="28"/>
              </w:rPr>
              <w:lastRenderedPageBreak/>
              <w:t>«острого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lastRenderedPageBreak/>
              <w:t xml:space="preserve">работа с </w:t>
            </w:r>
            <w:r>
              <w:rPr>
                <w:sz w:val="28"/>
                <w:szCs w:val="28"/>
              </w:rPr>
              <w:t>учеб</w:t>
            </w:r>
            <w:r>
              <w:rPr>
                <w:sz w:val="28"/>
                <w:szCs w:val="28"/>
              </w:rPr>
              <w:lastRenderedPageBreak/>
              <w:t>ным материалом</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w:t>
            </w:r>
            <w:r w:rsidRPr="0076581E">
              <w:rPr>
                <w:sz w:val="28"/>
                <w:szCs w:val="28"/>
              </w:rPr>
              <w:lastRenderedPageBreak/>
              <w:t>опрос, тестирование</w:t>
            </w:r>
          </w:p>
        </w:tc>
        <w:tc>
          <w:tcPr>
            <w:tcW w:w="1959" w:type="dxa"/>
          </w:tcPr>
          <w:p w:rsidR="003C1B0A" w:rsidRPr="00181082" w:rsidRDefault="003C1B0A" w:rsidP="003C1B0A">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2F0D5D"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2F0D5D"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5D" w:rsidRDefault="002F0D5D" w:rsidP="00FD5B6B">
      <w:r>
        <w:separator/>
      </w:r>
    </w:p>
  </w:endnote>
  <w:endnote w:type="continuationSeparator" w:id="0">
    <w:p w:rsidR="002F0D5D" w:rsidRDefault="002F0D5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53546F">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5D" w:rsidRDefault="002F0D5D" w:rsidP="00FD5B6B">
      <w:r>
        <w:separator/>
      </w:r>
    </w:p>
  </w:footnote>
  <w:footnote w:type="continuationSeparator" w:id="0">
    <w:p w:rsidR="002F0D5D" w:rsidRDefault="002F0D5D"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442953"/>
    <w:rsid w:val="004574B9"/>
    <w:rsid w:val="00460AEA"/>
    <w:rsid w:val="00476000"/>
    <w:rsid w:val="004A19D9"/>
    <w:rsid w:val="004B2C94"/>
    <w:rsid w:val="004B5B43"/>
    <w:rsid w:val="004C1386"/>
    <w:rsid w:val="004D1091"/>
    <w:rsid w:val="004F48B1"/>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43</cp:revision>
  <dcterms:created xsi:type="dcterms:W3CDTF">2019-02-04T05:01:00Z</dcterms:created>
  <dcterms:modified xsi:type="dcterms:W3CDTF">2019-10-15T10:59:00Z</dcterms:modified>
</cp:coreProperties>
</file>