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3B1BB0" w:rsidRDefault="003B1BB0" w:rsidP="003B1BB0">
      <w:pPr>
        <w:jc w:val="center"/>
        <w:rPr>
          <w:rFonts w:eastAsia="Calibri"/>
          <w:i/>
          <w:sz w:val="28"/>
          <w:szCs w:val="28"/>
        </w:rPr>
      </w:pPr>
      <w:r>
        <w:rPr>
          <w:rFonts w:eastAsia="Calibri"/>
          <w:i/>
          <w:sz w:val="28"/>
          <w:szCs w:val="28"/>
        </w:rPr>
        <w:t>31.08.49 Терапия</w:t>
      </w:r>
    </w:p>
    <w:p w:rsidR="003B1BB0" w:rsidRDefault="003B1BB0" w:rsidP="003B1BB0">
      <w:pPr>
        <w:jc w:val="center"/>
        <w:rPr>
          <w:rFonts w:eastAsia="Calibri"/>
          <w:sz w:val="28"/>
          <w:szCs w:val="28"/>
        </w:rPr>
      </w:pPr>
      <w:r>
        <w:rPr>
          <w:rFonts w:eastAsia="Calibri"/>
          <w:i/>
          <w:sz w:val="28"/>
          <w:szCs w:val="28"/>
        </w:rPr>
        <w:t>2 курс</w:t>
      </w: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ind w:firstLine="709"/>
        <w:jc w:val="both"/>
        <w:rPr>
          <w:rFonts w:eastAsia="Calibri"/>
          <w:color w:val="000000"/>
          <w:sz w:val="28"/>
          <w:szCs w:val="28"/>
        </w:rPr>
      </w:pPr>
      <w:r>
        <w:rPr>
          <w:rFonts w:eastAsia="Calibri"/>
          <w:color w:val="000000"/>
          <w:sz w:val="28"/>
          <w:szCs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eastAsia="Calibri"/>
          <w:i/>
          <w:color w:val="000000"/>
          <w:sz w:val="28"/>
          <w:szCs w:val="28"/>
        </w:rPr>
        <w:t>31.08.49 Терапия</w:t>
      </w:r>
      <w:r>
        <w:rPr>
          <w:rFonts w:eastAsia="Calibri"/>
          <w:color w:val="000000"/>
          <w:sz w:val="28"/>
          <w:szCs w:val="28"/>
        </w:rPr>
        <w:t>, утвержденной ученым советом ФГБОУ ВО ОрГМУ Минздрава России</w:t>
      </w:r>
    </w:p>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p>
    <w:p w:rsidR="00193B29" w:rsidRDefault="00193B29" w:rsidP="00193B29">
      <w:pPr>
        <w:ind w:firstLine="709"/>
        <w:jc w:val="center"/>
        <w:rPr>
          <w:rFonts w:eastAsia="Calibri"/>
          <w:sz w:val="28"/>
          <w:szCs w:val="28"/>
        </w:rPr>
      </w:pPr>
      <w:r>
        <w:rPr>
          <w:rFonts w:eastAsia="Calibri"/>
          <w:sz w:val="28"/>
          <w:szCs w:val="28"/>
        </w:rPr>
        <w:t>протокол № 11 от 27.06.2023 г.</w:t>
      </w:r>
    </w:p>
    <w:p w:rsidR="00904BA5" w:rsidRPr="00181082" w:rsidRDefault="00904BA5" w:rsidP="009B1164">
      <w:pPr>
        <w:ind w:firstLine="709"/>
        <w:jc w:val="center"/>
        <w:rPr>
          <w:sz w:val="28"/>
        </w:rPr>
      </w:pPr>
      <w:bookmarkStart w:id="0" w:name="_GoBack"/>
      <w:bookmarkEnd w:id="0"/>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E44933"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E44933"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33" w:rsidRDefault="00E44933" w:rsidP="00FD5B6B">
      <w:r>
        <w:separator/>
      </w:r>
    </w:p>
  </w:endnote>
  <w:endnote w:type="continuationSeparator" w:id="0">
    <w:p w:rsidR="00E44933" w:rsidRDefault="00E4493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F0" w:rsidRDefault="00BC63F0">
    <w:pPr>
      <w:pStyle w:val="ae"/>
      <w:jc w:val="right"/>
    </w:pPr>
    <w:r>
      <w:rPr>
        <w:noProof/>
      </w:rPr>
      <w:fldChar w:fldCharType="begin"/>
    </w:r>
    <w:r>
      <w:rPr>
        <w:noProof/>
      </w:rPr>
      <w:instrText>PAGE   \* MERGEFORMAT</w:instrText>
    </w:r>
    <w:r>
      <w:rPr>
        <w:noProof/>
      </w:rPr>
      <w:fldChar w:fldCharType="separate"/>
    </w:r>
    <w:r w:rsidR="00193B29">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33" w:rsidRDefault="00E44933" w:rsidP="00FD5B6B">
      <w:r>
        <w:separator/>
      </w:r>
    </w:p>
  </w:footnote>
  <w:footnote w:type="continuationSeparator" w:id="0">
    <w:p w:rsidR="00E44933" w:rsidRDefault="00E44933"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93B29"/>
    <w:rsid w:val="001E657C"/>
    <w:rsid w:val="001F5EE1"/>
    <w:rsid w:val="0026698D"/>
    <w:rsid w:val="00294383"/>
    <w:rsid w:val="002D2784"/>
    <w:rsid w:val="002F0D5D"/>
    <w:rsid w:val="0030608C"/>
    <w:rsid w:val="00373E7E"/>
    <w:rsid w:val="003B1BB0"/>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E0899"/>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44933"/>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15004501">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64</cp:revision>
  <dcterms:created xsi:type="dcterms:W3CDTF">2019-02-04T05:01:00Z</dcterms:created>
  <dcterms:modified xsi:type="dcterms:W3CDTF">2023-11-09T14:44:00Z</dcterms:modified>
</cp:coreProperties>
</file>