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A21170" w:rsidRDefault="00A21170" w:rsidP="00A21170">
      <w:pPr>
        <w:spacing w:after="0" w:line="240" w:lineRule="auto"/>
        <w:jc w:val="center"/>
        <w:rPr>
          <w:rFonts w:ascii="Times New Roman" w:hAnsi="Times New Roman"/>
          <w:caps/>
          <w:sz w:val="28"/>
          <w:szCs w:val="28"/>
          <w:lang w:eastAsia="ru-RU"/>
        </w:rPr>
      </w:pPr>
      <w:r>
        <w:rPr>
          <w:rFonts w:ascii="Times New Roman" w:hAnsi="Times New Roman"/>
          <w:sz w:val="28"/>
          <w:szCs w:val="28"/>
          <w:lang w:eastAsia="ru-RU"/>
        </w:rPr>
        <w:t>по специальности</w:t>
      </w:r>
    </w:p>
    <w:p w:rsidR="00A21170" w:rsidRDefault="00A21170" w:rsidP="00A21170">
      <w:pPr>
        <w:spacing w:after="0" w:line="240" w:lineRule="auto"/>
        <w:jc w:val="center"/>
        <w:rPr>
          <w:rFonts w:ascii="Times New Roman" w:hAnsi="Times New Roman"/>
          <w:b/>
          <w:caps/>
          <w:sz w:val="28"/>
          <w:szCs w:val="28"/>
          <w:lang w:eastAsia="ru-RU"/>
        </w:rPr>
      </w:pPr>
    </w:p>
    <w:p w:rsidR="001A72C1" w:rsidRDefault="001A72C1" w:rsidP="00A21170">
      <w:pPr>
        <w:spacing w:after="0" w:line="240" w:lineRule="auto"/>
        <w:jc w:val="center"/>
        <w:rPr>
          <w:rFonts w:ascii="Times New Roman" w:eastAsia="Calibri" w:hAnsi="Times New Roman"/>
          <w:i/>
          <w:sz w:val="28"/>
          <w:szCs w:val="28"/>
          <w:lang w:eastAsia="ru-RU"/>
        </w:rPr>
      </w:pPr>
      <w:r w:rsidRPr="001A72C1">
        <w:rPr>
          <w:rFonts w:ascii="Times New Roman" w:eastAsia="Calibri" w:hAnsi="Times New Roman"/>
          <w:i/>
          <w:sz w:val="28"/>
          <w:szCs w:val="28"/>
          <w:lang w:eastAsia="ru-RU"/>
        </w:rPr>
        <w:tab/>
        <w:t>31.08.51</w:t>
      </w:r>
      <w:r w:rsidRPr="001A72C1">
        <w:rPr>
          <w:rFonts w:ascii="Times New Roman" w:eastAsia="Calibri" w:hAnsi="Times New Roman"/>
          <w:i/>
          <w:sz w:val="28"/>
          <w:szCs w:val="28"/>
          <w:lang w:eastAsia="ru-RU"/>
        </w:rPr>
        <w:tab/>
        <w:t>Фтизиатрия</w:t>
      </w:r>
    </w:p>
    <w:p w:rsidR="00A21170" w:rsidRDefault="00A21170" w:rsidP="00A21170">
      <w:pPr>
        <w:spacing w:after="0" w:line="240" w:lineRule="auto"/>
        <w:jc w:val="center"/>
        <w:rPr>
          <w:rFonts w:ascii="Times New Roman" w:eastAsia="Calibri" w:hAnsi="Times New Roman"/>
          <w:sz w:val="28"/>
          <w:szCs w:val="28"/>
          <w:lang w:eastAsia="ru-RU"/>
        </w:rPr>
      </w:pPr>
      <w:r>
        <w:rPr>
          <w:rFonts w:ascii="Times New Roman" w:eastAsia="Calibri" w:hAnsi="Times New Roman"/>
          <w:i/>
          <w:sz w:val="28"/>
          <w:szCs w:val="28"/>
          <w:lang w:eastAsia="ru-RU"/>
        </w:rPr>
        <w:t>2 курс</w:t>
      </w:r>
    </w:p>
    <w:p w:rsidR="00A21170" w:rsidRDefault="00A21170" w:rsidP="00A21170">
      <w:pPr>
        <w:spacing w:after="0" w:line="240" w:lineRule="auto"/>
        <w:jc w:val="center"/>
        <w:rPr>
          <w:rFonts w:ascii="Times New Roman" w:eastAsia="Calibri" w:hAnsi="Times New Roman"/>
          <w:sz w:val="28"/>
          <w:szCs w:val="28"/>
          <w:lang w:eastAsia="ru-RU"/>
        </w:rPr>
      </w:pPr>
    </w:p>
    <w:p w:rsidR="00A21170" w:rsidRDefault="00A21170" w:rsidP="00A21170">
      <w:pPr>
        <w:spacing w:after="0" w:line="240" w:lineRule="auto"/>
        <w:jc w:val="center"/>
        <w:rPr>
          <w:rFonts w:ascii="Times New Roman" w:eastAsia="Calibri" w:hAnsi="Times New Roman"/>
          <w:sz w:val="28"/>
          <w:szCs w:val="28"/>
          <w:lang w:eastAsia="ru-RU"/>
        </w:rPr>
      </w:pPr>
    </w:p>
    <w:p w:rsidR="00A21170" w:rsidRDefault="00A21170" w:rsidP="00A21170">
      <w:pPr>
        <w:spacing w:after="0" w:line="240" w:lineRule="auto"/>
        <w:jc w:val="center"/>
        <w:rPr>
          <w:rFonts w:ascii="Times New Roman" w:eastAsia="Calibri" w:hAnsi="Times New Roman"/>
          <w:sz w:val="28"/>
          <w:szCs w:val="28"/>
          <w:lang w:eastAsia="ru-RU"/>
        </w:rPr>
      </w:pPr>
    </w:p>
    <w:p w:rsidR="00A21170" w:rsidRDefault="00A21170" w:rsidP="00A21170">
      <w:pPr>
        <w:spacing w:after="0" w:line="240" w:lineRule="auto"/>
        <w:jc w:val="center"/>
        <w:rPr>
          <w:rFonts w:ascii="Times New Roman" w:eastAsia="Calibri" w:hAnsi="Times New Roman"/>
          <w:sz w:val="28"/>
          <w:szCs w:val="28"/>
          <w:lang w:eastAsia="ru-RU"/>
        </w:rPr>
      </w:pPr>
    </w:p>
    <w:p w:rsidR="00A21170" w:rsidRDefault="00A21170" w:rsidP="00A21170">
      <w:pPr>
        <w:spacing w:after="0" w:line="240" w:lineRule="auto"/>
        <w:jc w:val="center"/>
        <w:rPr>
          <w:rFonts w:ascii="Times New Roman" w:eastAsia="Calibri" w:hAnsi="Times New Roman"/>
          <w:sz w:val="28"/>
          <w:szCs w:val="28"/>
          <w:lang w:eastAsia="ru-RU"/>
        </w:rPr>
      </w:pPr>
    </w:p>
    <w:p w:rsidR="00A21170" w:rsidRDefault="00A21170" w:rsidP="00A21170">
      <w:pPr>
        <w:spacing w:after="0" w:line="240" w:lineRule="auto"/>
        <w:jc w:val="center"/>
        <w:rPr>
          <w:rFonts w:ascii="Times New Roman" w:eastAsia="Calibri" w:hAnsi="Times New Roman"/>
          <w:sz w:val="28"/>
          <w:szCs w:val="28"/>
          <w:lang w:eastAsia="ru-RU"/>
        </w:rPr>
      </w:pPr>
    </w:p>
    <w:p w:rsidR="00A21170" w:rsidRDefault="00A21170" w:rsidP="00A21170">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sidR="001A72C1" w:rsidRPr="001A72C1">
        <w:rPr>
          <w:rFonts w:ascii="Times New Roman" w:eastAsia="Calibri" w:hAnsi="Times New Roman"/>
          <w:i/>
          <w:color w:val="000000"/>
          <w:sz w:val="28"/>
          <w:szCs w:val="28"/>
          <w:lang w:eastAsia="ru-RU"/>
        </w:rPr>
        <w:tab/>
        <w:t>31.08.51</w:t>
      </w:r>
      <w:r w:rsidR="001A72C1" w:rsidRPr="001A72C1">
        <w:rPr>
          <w:rFonts w:ascii="Times New Roman" w:eastAsia="Calibri" w:hAnsi="Times New Roman"/>
          <w:i/>
          <w:color w:val="000000"/>
          <w:sz w:val="28"/>
          <w:szCs w:val="28"/>
          <w:lang w:eastAsia="ru-RU"/>
        </w:rPr>
        <w:tab/>
        <w:t>Фтизиатрия</w:t>
      </w:r>
      <w:r>
        <w:rPr>
          <w:rFonts w:ascii="Times New Roman" w:eastAsia="Calibri" w:hAnsi="Times New Roman"/>
          <w:color w:val="000000"/>
          <w:sz w:val="28"/>
          <w:szCs w:val="28"/>
          <w:lang w:eastAsia="ru-RU"/>
        </w:rPr>
        <w:t>, утвержденной ученым советом ФГБОУ ВО ОрГМУ Минздрава России</w:t>
      </w:r>
    </w:p>
    <w:p w:rsidR="00A350B0" w:rsidRDefault="00A350B0" w:rsidP="00287DDC">
      <w:pPr>
        <w:spacing w:after="0" w:line="240" w:lineRule="auto"/>
        <w:ind w:firstLine="709"/>
        <w:jc w:val="center"/>
        <w:rPr>
          <w:rFonts w:ascii="Times New Roman" w:eastAsia="Calibri" w:hAnsi="Times New Roman"/>
          <w:sz w:val="28"/>
          <w:szCs w:val="28"/>
          <w:lang w:eastAsia="ru-RU"/>
        </w:rPr>
      </w:pPr>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287DDC" w:rsidRDefault="00287DDC" w:rsidP="008E4FD0">
      <w:pPr>
        <w:ind w:firstLine="709"/>
        <w:jc w:val="center"/>
        <w:rPr>
          <w:sz w:val="28"/>
        </w:rPr>
      </w:pPr>
    </w:p>
    <w:p w:rsidR="00A21170" w:rsidRDefault="00A21170" w:rsidP="008E4FD0">
      <w:pPr>
        <w:ind w:firstLine="709"/>
        <w:jc w:val="center"/>
        <w:rPr>
          <w:sz w:val="28"/>
        </w:rPr>
      </w:pPr>
    </w:p>
    <w:p w:rsid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A21170" w:rsidRPr="006D5E93" w:rsidRDefault="00A21170" w:rsidP="004C6861">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r>
      <w:r w:rsidR="00FB307A" w:rsidRPr="00FB307A">
        <w:rPr>
          <w:rFonts w:ascii="Times New Roman" w:eastAsia="Calibri" w:hAnsi="Times New Roman" w:cs="Times New Roman"/>
          <w:color w:val="000000"/>
          <w:sz w:val="28"/>
          <w:szCs w:val="28"/>
          <w:lang w:eastAsia="ru-RU"/>
        </w:rPr>
        <w:t>готовность к ведению и лечению пациентов, нуждающихся в оказании фтизиатрической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 xml:space="preserve">ИМНЫХ ОБЯЗАТЕЛЬСТВ, </w:t>
      </w:r>
      <w:r w:rsidRPr="00AD3F56">
        <w:rPr>
          <w:rFonts w:ascii="Times New Roman" w:eastAsia="Calibri" w:hAnsi="Times New Roman" w:cs="Times New Roman"/>
          <w:sz w:val="28"/>
          <w:szCs w:val="28"/>
          <w:lang w:eastAsia="ru-RU"/>
        </w:rPr>
        <w:lastRenderedPageBreak/>
        <w:t>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w:t>
      </w:r>
      <w:r w:rsidRPr="00401D5D">
        <w:rPr>
          <w:rFonts w:ascii="Times New Roman" w:eastAsia="Calibri" w:hAnsi="Times New Roman" w:cs="Times New Roman"/>
          <w:sz w:val="28"/>
          <w:szCs w:val="28"/>
          <w:lang w:eastAsia="ru-RU"/>
        </w:rPr>
        <w:lastRenderedPageBreak/>
        <w:t xml:space="preserve">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lastRenderedPageBreak/>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lastRenderedPageBreak/>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lastRenderedPageBreak/>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lastRenderedPageBreak/>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lastRenderedPageBreak/>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lastRenderedPageBreak/>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lastRenderedPageBreak/>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lastRenderedPageBreak/>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корточках, </w:t>
      </w:r>
      <w:r w:rsidRPr="009163CC">
        <w:rPr>
          <w:rFonts w:ascii="Times New Roman" w:eastAsia="Calibri" w:hAnsi="Times New Roman" w:cs="Times New Roman"/>
          <w:bCs/>
          <w:color w:val="000000"/>
          <w:sz w:val="28"/>
          <w:szCs w:val="28"/>
          <w:lang w:eastAsia="ru-RU"/>
        </w:rPr>
        <w:lastRenderedPageBreak/>
        <w:t>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 xml:space="preserve">Заболела 2 часа назад, когда появились ноющие </w:t>
      </w:r>
      <w:r w:rsidRPr="00321C97">
        <w:rPr>
          <w:rFonts w:ascii="Times New Roman" w:eastAsia="Calibri" w:hAnsi="Times New Roman" w:cs="Times New Roman"/>
          <w:bCs/>
          <w:color w:val="000000"/>
          <w:sz w:val="28"/>
          <w:szCs w:val="28"/>
          <w:lang w:eastAsia="ru-RU"/>
        </w:rPr>
        <w:lastRenderedPageBreak/>
        <w:t>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 xml:space="preserve">Передняя брюшная стенка не напряжена, участвует в акте дыхания, в правой </w:t>
      </w:r>
      <w:r w:rsidRPr="00321C97">
        <w:rPr>
          <w:rFonts w:ascii="Times New Roman" w:eastAsia="Calibri" w:hAnsi="Times New Roman" w:cs="Times New Roman"/>
          <w:bCs/>
          <w:color w:val="000000"/>
          <w:sz w:val="28"/>
          <w:szCs w:val="28"/>
          <w:lang w:eastAsia="ru-RU"/>
        </w:rPr>
        <w:lastRenderedPageBreak/>
        <w:t>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w:t>
      </w:r>
      <w:r w:rsidRPr="00321C97">
        <w:rPr>
          <w:rFonts w:ascii="Times New Roman" w:eastAsia="Calibri" w:hAnsi="Times New Roman" w:cs="Times New Roman"/>
          <w:bCs/>
          <w:color w:val="000000"/>
          <w:sz w:val="28"/>
          <w:szCs w:val="28"/>
          <w:lang w:eastAsia="ru-RU"/>
        </w:rPr>
        <w:lastRenderedPageBreak/>
        <w:t>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lastRenderedPageBreak/>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lastRenderedPageBreak/>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lastRenderedPageBreak/>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B505A7" w:rsidTr="00B505A7">
        <w:tc>
          <w:tcPr>
            <w:tcW w:w="295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Форма контроля </w:t>
            </w: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Критерии оценивания</w:t>
            </w:r>
          </w:p>
        </w:tc>
      </w:tr>
      <w:tr w:rsidR="00B505A7" w:rsidTr="00B505A7">
        <w:tc>
          <w:tcPr>
            <w:tcW w:w="2950" w:type="dxa"/>
            <w:vMerge w:val="restart"/>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Тестирование </w:t>
            </w: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322"/>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 «отлично» выставляется при условии 90-100% правильных ответов</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322"/>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 «хорошо» выставляется при условии 75-89% правильных ответов</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322"/>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 «удовлетворительно» выставляется при условии 60-74% правильных ответов</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322"/>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 «неудовлетворительно» выставляется при условии 59% и меньше правильных ответов.</w:t>
            </w:r>
          </w:p>
        </w:tc>
      </w:tr>
      <w:tr w:rsidR="00B505A7" w:rsidTr="00B505A7">
        <w:tc>
          <w:tcPr>
            <w:tcW w:w="2950" w:type="dxa"/>
            <w:vMerge w:val="restart"/>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Письменный опрос</w:t>
            </w: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«отлично»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«хорошо» выставляется студенту, за умение грамотно излагать материал, но при этом содержание и форма ответа могут иметь отдельные неточности; </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«удовлетворительно»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«неудовлетворительно»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B505A7" w:rsidTr="00B505A7">
        <w:tc>
          <w:tcPr>
            <w:tcW w:w="2950" w:type="dxa"/>
            <w:vMerge w:val="restart"/>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Проблемно-</w:t>
            </w:r>
            <w:r>
              <w:rPr>
                <w:rFonts w:ascii="Times New Roman" w:eastAsia="Calibri" w:hAnsi="Times New Roman" w:cs="Times New Roman"/>
                <w:b/>
                <w:sz w:val="28"/>
                <w:szCs w:val="28"/>
                <w:lang w:eastAsia="ru-RU"/>
              </w:rPr>
              <w:lastRenderedPageBreak/>
              <w:t>ситуационные задачи</w:t>
            </w: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hd w:val="clear" w:color="auto" w:fill="FEFEFE"/>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Оценка «отлично» – студент правильно и полно </w:t>
            </w:r>
            <w:r>
              <w:rPr>
                <w:rFonts w:ascii="Times New Roman" w:eastAsia="Calibri" w:hAnsi="Times New Roman" w:cs="Times New Roman"/>
                <w:sz w:val="28"/>
                <w:szCs w:val="28"/>
                <w:lang w:eastAsia="ru-RU"/>
              </w:rPr>
              <w:lastRenderedPageBreak/>
              <w:t>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hd w:val="clear" w:color="auto" w:fill="FEFEFE"/>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«хорошо»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проводятся с дополнительными комментариями преподавателя; </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hd w:val="clear" w:color="auto" w:fill="FEFEFE"/>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«удовлетворительно»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врачебные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hd w:val="clear" w:color="auto" w:fill="FEFEFE"/>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«неудовлетворительно» – неверная оценка ситуации; неправильно выбранная тактика действий</w:t>
            </w:r>
          </w:p>
        </w:tc>
      </w:tr>
      <w:tr w:rsidR="00B505A7" w:rsidTr="00B505A7">
        <w:tc>
          <w:tcPr>
            <w:tcW w:w="2950" w:type="dxa"/>
            <w:vMerge w:val="restart"/>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Практические навыки</w:t>
            </w: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«отлично».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«хорошо».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«удовлетворительно».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«неудовлетворительно».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B505A7" w:rsidTr="00B505A7">
        <w:tc>
          <w:tcPr>
            <w:tcW w:w="2950" w:type="dxa"/>
            <w:vMerge w:val="restart"/>
            <w:tcBorders>
              <w:top w:val="single" w:sz="4" w:space="0" w:color="auto"/>
              <w:left w:val="single" w:sz="4" w:space="0" w:color="auto"/>
              <w:bottom w:val="single" w:sz="4" w:space="0" w:color="auto"/>
              <w:right w:val="single" w:sz="4" w:space="0" w:color="auto"/>
            </w:tcBorders>
          </w:tcPr>
          <w:p w:rsidR="00B505A7" w:rsidRDefault="00B505A7">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Защита реферата</w:t>
            </w:r>
          </w:p>
          <w:p w:rsidR="00B505A7" w:rsidRDefault="00B505A7">
            <w:pPr>
              <w:spacing w:after="0" w:line="240" w:lineRule="auto"/>
              <w:jc w:val="center"/>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B505A7" w:rsidTr="00B505A7">
        <w:tc>
          <w:tcPr>
            <w:tcW w:w="0" w:type="auto"/>
            <w:vMerge/>
            <w:tcBorders>
              <w:top w:val="single" w:sz="4" w:space="0" w:color="auto"/>
              <w:left w:val="single" w:sz="4" w:space="0" w:color="auto"/>
              <w:bottom w:val="single" w:sz="4" w:space="0" w:color="auto"/>
              <w:right w:val="single" w:sz="4" w:space="0" w:color="auto"/>
            </w:tcBorders>
            <w:vAlign w:val="center"/>
            <w:hideMark/>
          </w:tcPr>
          <w:p w:rsidR="00B505A7" w:rsidRDefault="00B505A7">
            <w:pPr>
              <w:spacing w:after="0"/>
              <w:rPr>
                <w:rFonts w:ascii="Times New Roman" w:eastAsia="Calibri" w:hAnsi="Times New Roman" w:cs="Times New Roman"/>
                <w:b/>
                <w:sz w:val="28"/>
                <w:szCs w:val="28"/>
                <w:lang w:eastAsia="ru-RU"/>
              </w:rPr>
            </w:pPr>
          </w:p>
        </w:tc>
        <w:tc>
          <w:tcPr>
            <w:tcW w:w="7310" w:type="dxa"/>
            <w:tcBorders>
              <w:top w:val="single" w:sz="4" w:space="0" w:color="auto"/>
              <w:left w:val="single" w:sz="4" w:space="0" w:color="auto"/>
              <w:bottom w:val="single" w:sz="4" w:space="0" w:color="auto"/>
              <w:right w:val="single" w:sz="4" w:space="0" w:color="auto"/>
            </w:tcBorders>
            <w:hideMark/>
          </w:tcPr>
          <w:p w:rsidR="00B505A7" w:rsidRDefault="00B505A7">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Оценка «неудовлетворительно» выставляется если </w:t>
            </w:r>
            <w:r>
              <w:rPr>
                <w:rFonts w:ascii="Times New Roman" w:eastAsia="Calibri" w:hAnsi="Times New Roman" w:cs="Times New Roman"/>
                <w:sz w:val="28"/>
                <w:szCs w:val="28"/>
                <w:lang w:eastAsia="ru-RU"/>
              </w:rPr>
              <w:lastRenderedPageBreak/>
              <w:t>обучающимся не раскрыта тема реферата, обнаруживается существенное непонимание проблемы</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lastRenderedPageBreak/>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lastRenderedPageBreak/>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lastRenderedPageBreak/>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lastRenderedPageBreak/>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w:t>
      </w:r>
      <w:r w:rsidRPr="007C3485">
        <w:rPr>
          <w:rFonts w:ascii="Times New Roman" w:eastAsia="Calibri" w:hAnsi="Times New Roman" w:cs="Times New Roman"/>
          <w:color w:val="000000"/>
          <w:sz w:val="28"/>
          <w:szCs w:val="28"/>
          <w:lang w:eastAsia="ru-RU"/>
        </w:rPr>
        <w:lastRenderedPageBreak/>
        <w:t xml:space="preserve">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lastRenderedPageBreak/>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00FB307A">
              <w:rPr>
                <w:rFonts w:ascii="Times New Roman" w:eastAsia="Calibri" w:hAnsi="Times New Roman" w:cs="Times New Roman"/>
                <w:sz w:val="28"/>
                <w:szCs w:val="28"/>
              </w:rPr>
              <w:t xml:space="preserve"> </w:t>
            </w:r>
            <w:r w:rsidR="00FB307A" w:rsidRPr="00FB307A">
              <w:rPr>
                <w:rFonts w:ascii="Times New Roman" w:eastAsia="Calibri" w:hAnsi="Times New Roman" w:cs="Times New Roman"/>
                <w:sz w:val="28"/>
                <w:szCs w:val="28"/>
              </w:rPr>
              <w:t>готовность к ведению и лечению пациентов, нуждающихся в оказании фтизиатрической медицинской помощи</w:t>
            </w:r>
          </w:p>
        </w:tc>
        <w:tc>
          <w:tcPr>
            <w:tcW w:w="3960" w:type="dxa"/>
          </w:tcPr>
          <w:p w:rsidR="00157015" w:rsidRPr="00DF50FA" w:rsidRDefault="00157015" w:rsidP="00FB307A">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FB307A">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FB307A" w:rsidP="00FB307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FB307A">
              <w:rPr>
                <w:rFonts w:ascii="Times New Roman" w:eastAsia="Calibri" w:hAnsi="Times New Roman" w:cs="Times New Roman"/>
                <w:sz w:val="28"/>
                <w:szCs w:val="28"/>
                <w:lang w:eastAsia="ru-RU"/>
              </w:rPr>
              <w:t>навыками оказания медицинской помощи в экстренной и неотложной форме пациентам при состояниях, представляющих угрозу жизни пациента, в том числе клинической смерти</w:t>
            </w:r>
            <w:bookmarkStart w:id="2" w:name="_GoBack"/>
            <w:bookmarkEnd w:id="2"/>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0DB" w:rsidRDefault="000030DB" w:rsidP="00157015">
      <w:pPr>
        <w:spacing w:after="0" w:line="240" w:lineRule="auto"/>
      </w:pPr>
      <w:r>
        <w:separator/>
      </w:r>
    </w:p>
  </w:endnote>
  <w:endnote w:type="continuationSeparator" w:id="0">
    <w:p w:rsidR="000030DB" w:rsidRDefault="000030DB"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0DB" w:rsidRDefault="000030DB" w:rsidP="00157015">
      <w:pPr>
        <w:spacing w:after="0" w:line="240" w:lineRule="auto"/>
      </w:pPr>
      <w:r>
        <w:separator/>
      </w:r>
    </w:p>
  </w:footnote>
  <w:footnote w:type="continuationSeparator" w:id="0">
    <w:p w:rsidR="000030DB" w:rsidRDefault="000030DB" w:rsidP="00157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30DB"/>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26E34"/>
    <w:rsid w:val="001277F6"/>
    <w:rsid w:val="00132552"/>
    <w:rsid w:val="00156830"/>
    <w:rsid w:val="00157015"/>
    <w:rsid w:val="00175934"/>
    <w:rsid w:val="00195D14"/>
    <w:rsid w:val="001A069A"/>
    <w:rsid w:val="001A72C1"/>
    <w:rsid w:val="001B0B8F"/>
    <w:rsid w:val="001D1FB8"/>
    <w:rsid w:val="001E207A"/>
    <w:rsid w:val="001E62AF"/>
    <w:rsid w:val="00200230"/>
    <w:rsid w:val="00201BE4"/>
    <w:rsid w:val="002102B7"/>
    <w:rsid w:val="002207F8"/>
    <w:rsid w:val="0022304E"/>
    <w:rsid w:val="00223EB3"/>
    <w:rsid w:val="002261D6"/>
    <w:rsid w:val="00237CAD"/>
    <w:rsid w:val="00240488"/>
    <w:rsid w:val="00253689"/>
    <w:rsid w:val="00274D2F"/>
    <w:rsid w:val="00275622"/>
    <w:rsid w:val="00287DDC"/>
    <w:rsid w:val="002963F6"/>
    <w:rsid w:val="002A4023"/>
    <w:rsid w:val="002A589E"/>
    <w:rsid w:val="002B31F7"/>
    <w:rsid w:val="002C3C0C"/>
    <w:rsid w:val="002D1C21"/>
    <w:rsid w:val="002D51AB"/>
    <w:rsid w:val="002F19A1"/>
    <w:rsid w:val="002F45F0"/>
    <w:rsid w:val="002F791A"/>
    <w:rsid w:val="0030678F"/>
    <w:rsid w:val="00321C97"/>
    <w:rsid w:val="00321EF4"/>
    <w:rsid w:val="003371E1"/>
    <w:rsid w:val="0034381E"/>
    <w:rsid w:val="003533AE"/>
    <w:rsid w:val="00356BE5"/>
    <w:rsid w:val="003719FB"/>
    <w:rsid w:val="00377025"/>
    <w:rsid w:val="00383890"/>
    <w:rsid w:val="00392AAF"/>
    <w:rsid w:val="00394292"/>
    <w:rsid w:val="003A560A"/>
    <w:rsid w:val="003B32B2"/>
    <w:rsid w:val="003E0025"/>
    <w:rsid w:val="003E2245"/>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0377"/>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C45AD"/>
    <w:rsid w:val="005E2A31"/>
    <w:rsid w:val="00616FD0"/>
    <w:rsid w:val="00625B59"/>
    <w:rsid w:val="006333AD"/>
    <w:rsid w:val="00653B9B"/>
    <w:rsid w:val="0066195B"/>
    <w:rsid w:val="00683C92"/>
    <w:rsid w:val="0069633D"/>
    <w:rsid w:val="006A6AC0"/>
    <w:rsid w:val="006B7955"/>
    <w:rsid w:val="006D5E7B"/>
    <w:rsid w:val="006D5E93"/>
    <w:rsid w:val="006D7E7B"/>
    <w:rsid w:val="006E46C2"/>
    <w:rsid w:val="006F2266"/>
    <w:rsid w:val="007129E7"/>
    <w:rsid w:val="00721EB9"/>
    <w:rsid w:val="00724591"/>
    <w:rsid w:val="007350F9"/>
    <w:rsid w:val="00745752"/>
    <w:rsid w:val="00755A04"/>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70709"/>
    <w:rsid w:val="008800A4"/>
    <w:rsid w:val="0088305E"/>
    <w:rsid w:val="00883EFC"/>
    <w:rsid w:val="00887062"/>
    <w:rsid w:val="008933BF"/>
    <w:rsid w:val="008A014F"/>
    <w:rsid w:val="008B7509"/>
    <w:rsid w:val="008B7E5F"/>
    <w:rsid w:val="008C45B7"/>
    <w:rsid w:val="008D793D"/>
    <w:rsid w:val="008E3F77"/>
    <w:rsid w:val="008E416F"/>
    <w:rsid w:val="008E4FD0"/>
    <w:rsid w:val="008E6D23"/>
    <w:rsid w:val="008F2602"/>
    <w:rsid w:val="008F5392"/>
    <w:rsid w:val="009163CC"/>
    <w:rsid w:val="00934EDF"/>
    <w:rsid w:val="00945398"/>
    <w:rsid w:val="00976301"/>
    <w:rsid w:val="009765A3"/>
    <w:rsid w:val="00991759"/>
    <w:rsid w:val="009A1769"/>
    <w:rsid w:val="009A18CB"/>
    <w:rsid w:val="009C5F77"/>
    <w:rsid w:val="009D2D3F"/>
    <w:rsid w:val="009D2EFE"/>
    <w:rsid w:val="009E0CCB"/>
    <w:rsid w:val="009E5511"/>
    <w:rsid w:val="00A03850"/>
    <w:rsid w:val="00A21170"/>
    <w:rsid w:val="00A350B0"/>
    <w:rsid w:val="00A47339"/>
    <w:rsid w:val="00A47A80"/>
    <w:rsid w:val="00A501BA"/>
    <w:rsid w:val="00A507B5"/>
    <w:rsid w:val="00A5767A"/>
    <w:rsid w:val="00A62D59"/>
    <w:rsid w:val="00A6627A"/>
    <w:rsid w:val="00AA06A1"/>
    <w:rsid w:val="00AB5F3F"/>
    <w:rsid w:val="00AB7E09"/>
    <w:rsid w:val="00AC26F9"/>
    <w:rsid w:val="00AC7DC8"/>
    <w:rsid w:val="00AD15B1"/>
    <w:rsid w:val="00AD1E41"/>
    <w:rsid w:val="00AD3312"/>
    <w:rsid w:val="00AD3F56"/>
    <w:rsid w:val="00AE6F07"/>
    <w:rsid w:val="00B04F09"/>
    <w:rsid w:val="00B0659E"/>
    <w:rsid w:val="00B178F8"/>
    <w:rsid w:val="00B202FF"/>
    <w:rsid w:val="00B22FFE"/>
    <w:rsid w:val="00B40E44"/>
    <w:rsid w:val="00B42DC4"/>
    <w:rsid w:val="00B44C7C"/>
    <w:rsid w:val="00B505A7"/>
    <w:rsid w:val="00B51555"/>
    <w:rsid w:val="00B542D2"/>
    <w:rsid w:val="00B72E28"/>
    <w:rsid w:val="00B77A84"/>
    <w:rsid w:val="00B85550"/>
    <w:rsid w:val="00BA3F91"/>
    <w:rsid w:val="00BB14AC"/>
    <w:rsid w:val="00BD25CD"/>
    <w:rsid w:val="00BE0264"/>
    <w:rsid w:val="00BE4AD8"/>
    <w:rsid w:val="00BE7DED"/>
    <w:rsid w:val="00C10640"/>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654D"/>
    <w:rsid w:val="00E35B76"/>
    <w:rsid w:val="00E36F42"/>
    <w:rsid w:val="00E4086A"/>
    <w:rsid w:val="00E554CD"/>
    <w:rsid w:val="00E77F22"/>
    <w:rsid w:val="00E829E0"/>
    <w:rsid w:val="00E8656E"/>
    <w:rsid w:val="00E90032"/>
    <w:rsid w:val="00E91E3D"/>
    <w:rsid w:val="00EA033E"/>
    <w:rsid w:val="00EA0EB3"/>
    <w:rsid w:val="00EA2B3E"/>
    <w:rsid w:val="00EA43A1"/>
    <w:rsid w:val="00EB1762"/>
    <w:rsid w:val="00EC4705"/>
    <w:rsid w:val="00ED07FE"/>
    <w:rsid w:val="00ED2AFD"/>
    <w:rsid w:val="00ED6D30"/>
    <w:rsid w:val="00EE0CB5"/>
    <w:rsid w:val="00EF01B9"/>
    <w:rsid w:val="00EF1A3E"/>
    <w:rsid w:val="00EF4746"/>
    <w:rsid w:val="00F04DF4"/>
    <w:rsid w:val="00F17823"/>
    <w:rsid w:val="00F22F20"/>
    <w:rsid w:val="00F27B96"/>
    <w:rsid w:val="00F27E65"/>
    <w:rsid w:val="00F45516"/>
    <w:rsid w:val="00F922D2"/>
    <w:rsid w:val="00FA10C8"/>
    <w:rsid w:val="00FA186A"/>
    <w:rsid w:val="00FB1772"/>
    <w:rsid w:val="00FB307A"/>
    <w:rsid w:val="00FC1802"/>
    <w:rsid w:val="00FC1ADD"/>
    <w:rsid w:val="00FD264A"/>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5901">
      <w:bodyDiv w:val="1"/>
      <w:marLeft w:val="0"/>
      <w:marRight w:val="0"/>
      <w:marTop w:val="0"/>
      <w:marBottom w:val="0"/>
      <w:divBdr>
        <w:top w:val="none" w:sz="0" w:space="0" w:color="auto"/>
        <w:left w:val="none" w:sz="0" w:space="0" w:color="auto"/>
        <w:bottom w:val="none" w:sz="0" w:space="0" w:color="auto"/>
        <w:right w:val="none" w:sz="0" w:space="0" w:color="auto"/>
      </w:divBdr>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882784596">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A8A7-C993-4BC6-BB7F-70FD8396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74</Pages>
  <Words>17955</Words>
  <Characters>102346</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166</cp:revision>
  <cp:lastPrinted>2019-04-24T21:07:00Z</cp:lastPrinted>
  <dcterms:created xsi:type="dcterms:W3CDTF">2019-07-15T19:14:00Z</dcterms:created>
  <dcterms:modified xsi:type="dcterms:W3CDTF">2023-11-03T16:54:00Z</dcterms:modified>
</cp:coreProperties>
</file>