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A5" w:rsidRPr="007158D3" w:rsidRDefault="00AA7434" w:rsidP="00715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8D3">
        <w:rPr>
          <w:rFonts w:ascii="Times New Roman" w:hAnsi="Times New Roman" w:cs="Times New Roman"/>
          <w:b/>
          <w:sz w:val="28"/>
          <w:szCs w:val="28"/>
        </w:rPr>
        <w:t>Задачи современной кардиологической службы в РФ, Нормативная база и этические аспекты организации деятельности «Школы здоровья» для больных гипертонической болезнью.</w:t>
      </w:r>
    </w:p>
    <w:p w:rsidR="00080446" w:rsidRPr="007158D3" w:rsidRDefault="00080446" w:rsidP="007158D3">
      <w:pPr>
        <w:jc w:val="both"/>
        <w:rPr>
          <w:rFonts w:ascii="Times New Roman" w:hAnsi="Times New Roman" w:cs="Times New Roman"/>
          <w:sz w:val="28"/>
          <w:szCs w:val="28"/>
        </w:rPr>
      </w:pPr>
      <w:r w:rsidRPr="007158D3">
        <w:rPr>
          <w:sz w:val="28"/>
          <w:szCs w:val="28"/>
        </w:rPr>
        <w:t xml:space="preserve">          </w:t>
      </w:r>
      <w:r w:rsidRPr="007158D3">
        <w:rPr>
          <w:rFonts w:ascii="Times New Roman" w:hAnsi="Times New Roman" w:cs="Times New Roman"/>
          <w:sz w:val="28"/>
          <w:szCs w:val="28"/>
        </w:rPr>
        <w:t xml:space="preserve">В стратегических документах ВОЗ, рекомендациях министерства здравоохранения и социального развития, а также ведущих российских экспертов интегрированный подход для профилактики и контроля неинфекционных заболеваний и травматизма, вклад которых в общую смертность составляет 57% (2) признается </w:t>
      </w:r>
      <w:proofErr w:type="spellStart"/>
      <w:r w:rsidRPr="007158D3">
        <w:rPr>
          <w:rFonts w:ascii="Times New Roman" w:hAnsi="Times New Roman" w:cs="Times New Roman"/>
          <w:sz w:val="28"/>
          <w:szCs w:val="28"/>
        </w:rPr>
        <w:t>основоплагающим</w:t>
      </w:r>
      <w:proofErr w:type="spellEnd"/>
      <w:r w:rsidRPr="007158D3">
        <w:rPr>
          <w:rFonts w:ascii="Times New Roman" w:hAnsi="Times New Roman" w:cs="Times New Roman"/>
          <w:sz w:val="28"/>
          <w:szCs w:val="28"/>
        </w:rPr>
        <w:t>. Такой подход включает популяционную стратегию — воздействие на те факторы образа жизни и окружающей среды, которые увеличивают риск развития заболеваний и преждевременной смерти для всего населения; стратегию высокого риск</w:t>
      </w:r>
      <w:proofErr w:type="gramStart"/>
      <w:r w:rsidRPr="007158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158D3">
        <w:rPr>
          <w:rFonts w:ascii="Times New Roman" w:hAnsi="Times New Roman" w:cs="Times New Roman"/>
          <w:sz w:val="28"/>
          <w:szCs w:val="28"/>
        </w:rPr>
        <w:t xml:space="preserve"> выявление и снижение уровней факторов риска у людей с высоким риском развития неинфекционных заболеваний и их последствий; и вторичную профилактику — предупреждение прогрессирования этих заболеваний, выявление лиц с ранними стадиями заболевания и проведение соответствующих профилактических и лечебных мероприятий (1, 2). </w:t>
      </w:r>
      <w:proofErr w:type="gramStart"/>
      <w:r w:rsidRPr="007158D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158D3">
        <w:rPr>
          <w:rFonts w:ascii="Times New Roman" w:hAnsi="Times New Roman" w:cs="Times New Roman"/>
          <w:sz w:val="28"/>
          <w:szCs w:val="28"/>
        </w:rPr>
        <w:t xml:space="preserve"> при этом, безусловно, уделяется реализации политики, направленной на улучшение социально-экономического положения в стране. </w:t>
      </w:r>
    </w:p>
    <w:p w:rsidR="00080446" w:rsidRPr="007158D3" w:rsidRDefault="00080446" w:rsidP="007158D3">
      <w:pPr>
        <w:jc w:val="both"/>
        <w:rPr>
          <w:rFonts w:ascii="Times New Roman" w:hAnsi="Times New Roman" w:cs="Times New Roman"/>
          <w:sz w:val="28"/>
          <w:szCs w:val="28"/>
        </w:rPr>
      </w:pPr>
      <w:r w:rsidRPr="007158D3">
        <w:rPr>
          <w:rFonts w:ascii="Times New Roman" w:hAnsi="Times New Roman" w:cs="Times New Roman"/>
          <w:sz w:val="28"/>
          <w:szCs w:val="28"/>
        </w:rPr>
        <w:t xml:space="preserve">            С очевидностью такого подхода трудно не согласиться, но на практике всегда встает проблема ограниченности ресурсов - всех, всегда и везде. И тогда на повестку дня выходят вопросы эффективного вложения средств, экономической эффективности вмешательств; времени ожидания каких-либо результатов от тех или иных вмешательств. </w:t>
      </w:r>
      <w:proofErr w:type="gramStart"/>
      <w:r w:rsidRPr="007158D3">
        <w:rPr>
          <w:rFonts w:ascii="Times New Roman" w:hAnsi="Times New Roman" w:cs="Times New Roman"/>
          <w:sz w:val="28"/>
          <w:szCs w:val="28"/>
        </w:rPr>
        <w:t xml:space="preserve">На наш взгляд, правильность позиции заключается в том, что такой комплексный подход должен лежать в основе стратегии, при этом источники и пути финансирования вмешательств на здоровье должны быть различными: средства «системы здравоохранения» и «внешние», бюджетные средства всех уровней, страховые ресурсы, привлеченные средства бизнеса, различных спонсоров и благотворительных фондов, и средства самих получателей услуг. </w:t>
      </w:r>
      <w:proofErr w:type="gramEnd"/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Ежегодно в России от </w:t>
      </w: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сердечно-сосудистых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заболеваний  умирает более 1 млн. 200 тысяч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человек, из них - около 100 тыс. человек трудоспособного возраста. </w:t>
      </w: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Сердечно-сосудистые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заболевания  являются  ведущей  причиной  </w:t>
      </w:r>
      <w:proofErr w:type="spell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инвалидизации</w:t>
      </w:r>
      <w:proofErr w:type="spell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 в  России.  Заболеваемость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lastRenderedPageBreak/>
        <w:t xml:space="preserve">ишемической  болезнью  сердца (ИБС)  составляет  примерно 55% от  всех  болезней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сердечно-сосудистой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 системы  Средняя  продолжительность  жизни  мужчин  в  РФ  в 2000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году составила 59,0 лет, а женщин - 72,2 года, что значительно короче, чем </w:t>
      </w: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в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развитых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странах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мира.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     Эффективность программ по снижению заболеваемостью и смертности </w:t>
      </w: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от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сердечно-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сосудистых  заболеваний  во  многом  </w:t>
      </w: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обусловлены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 профилактикой.  Профилактика  ИБС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включает  наряду  с  борьбой  с  факторами  риска,  так  же  вторичную  профилактику  после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инфаркта  миокарда  и  перенесенного  кардиохирургического  лечения.  Эффективность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профилактических </w:t>
      </w: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программ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в том числе  зависит и от активного участия в них больных и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их  родственников.  В  первую  очередь,  профилактические  программы  ориентированы  </w:t>
      </w: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на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лиц  трудоспособного  возраста,  потому  что  они  являются  производителями  тех  благ,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которые  позволяют  обеспечивать  благосостояние  всем  слоям  населения,  от  детей  до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взрослого  населения,  которое  уже  находится  на  заслуженном  отдыхе.  По  данным  ВОЗ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здоровье  населения  зависит  на 70% от  образа  жизни  и  наличия  вредных  привычек.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Поэтому важным направлением борьбы с факторами риска развития и прогрессирования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сердечно-сосудистых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  заболеваний  является  формирование  здорового  образа  жизни.  Во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вторичной  профилактике  на  первое  место  выступает  взаимодействие  врача  и  пациента,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формирование стремления самого пациента улучшить своё состояние. 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Набор  вмешательств,  предлагаемых  на  сегодняшний  день  для  повышения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приверженности пациентов к терапии, достаточно </w:t>
      </w:r>
      <w:proofErr w:type="gramStart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ограничен</w:t>
      </w:r>
      <w:proofErr w:type="gramEnd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. Наиболее распространены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lastRenderedPageBreak/>
        <w:t xml:space="preserve">различные образовательные программы для пациентов, различные способы напоминания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пациенту  о  необходимости  обследования  и  лечения (звонки,  письма),  различные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психотерапевтические  методики.  В  последние  годы  стала  активно  развиваться  такая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методологическая форма, как школы для пациентов, цель которых – не только улучшить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информированность  больных  о  своем  заболевании,  но  и  способствовать  повышению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 xml:space="preserve">приверженности  к  лечению,  сформировать  у  них  мотивацию  к  сохранению  своего </w:t>
      </w:r>
    </w:p>
    <w:p w:rsidR="00923582" w:rsidRPr="007158D3" w:rsidRDefault="00923582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здоровья и повысить ответственность за здоровье как свою личную собственность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Положение о Школе здоровья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Школа здоровья - это совокупность средств и методов индивидуального и группового воздействия на пациентов и население, направленная на повышение уровня их знаний, информированности и практических навыков по профилактике заболеваний и повышения качества жизни, сохранение здоровья.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Школа здоровья является медицинской профилактической услугой, оказываемой пациентам или лицам с факторами риска в первичном звене здравоохранения, организационной формой профилактического группового консультирования (гигиенического обучения и воспитания - по МКБ-10 в классе XXI, Z70-76).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Школа здоровья включена в отраслевой классификатор «Сложные и комплексные медицинские услуги» (приказ Министерства здравоохранения РФ №</w:t>
      </w:r>
      <w:r w:rsid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268 от 16.07.2001г. «О введении в действие отраслевого классификатора «Сложные и комплексные медицинские услуги»)</w:t>
      </w:r>
      <w:proofErr w:type="gramEnd"/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1414" w:hanging="705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1.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    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Общие положения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1.1.    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Школа здоровья создается на базе амбулаторно-поликлинического отделения (учреждения), в том числе центра (кабинета, отделения) медицинской профилактики, центра здоровья, дневного стационара или специализированного (терапевтического, кардиологического, эндокринологического, пульмонологического) отделения стационара учреждения здравоохранения, санатория-профилактория, санатория.</w:t>
      </w:r>
      <w:proofErr w:type="gramEnd"/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lastRenderedPageBreak/>
        <w:t>1.2.     Школа здоровья организуется приказом главного врача учреждения здравоохранения для каждого вида Школ здоровья в рамках штатного расписания. В приказе утверждается руководитель Школы здоровья, порядок и формы направления пациентов на обучение, график проведения Школы здоровья на год, помещение, где будут проходить занятия и перечень необходимого оборудования. В приказе также утверждается расчет заработной платы сотрудников Школы здоровья.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1.3.     Руководство Школой здоровья осуществляет врач или медицинская сестра, имеющая специальность «управление сестринской деятельностью» и необходимую специализацию, в том числе по гигиеническому обучению и воспитанию населения.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1.4.     Обязанности руководителя Школы здоровья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-          обеспечение регулярной деятельности Школы здоровья;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-          контроль уровня знаний, приобретенных пациентами в Школе здоровья;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-          оценка организации и качества обучения в Школе здоровья;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-          координация деятельности со специалистами других подразделений;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ежегодное представление отчета о работе Школы.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1.5.          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Работа Школы здоровья осуществляется в соответствии с настоящим Положением (приложение № 1).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1.6.          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Пациенты направляются на занятия в Школу здоровья лечащим врачом, врачом центра здоровья или специалистами любого профиля.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1.7.          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Учет работы и отчетность по работе Школ здоровья проводятся в соответствии с перечнем учетно-отчетной документации (приложение № 2).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1.8.          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Наполняемость группы пациентов максимально 8-10 человек.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1.9.          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Каждая Школа здоровья работает по программе, утвержденной главным врачом медицинской организации области.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1.10.     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Продолжительность занятий не должна превышать 1-2 академических часов (45-90 минут). На каждое занятие представляется соответствующая разработка.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1.11.     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При выборе формы проведения занятия (популярная лекция, лекция - диалог, деловая игра, тренинг) учитывается возраст и уровень подготовки слушателей. В Школе здоровья должен использоваться цикловой метод обучения, а занятия строиться по принципу «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от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простого к сложному». Предпочтительно обучение пациентов совместно с членами их семьи, имеющих возможность определять образ жизни пациента.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lastRenderedPageBreak/>
        <w:t>1.12.     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Организационные модели Школы здоровья включают две схемы: схема № 1 - обучение пациентов на всех занятиях курса проводит один специалист; схема № 2 - обучение пациентов проводится различными специалистами в зависимости от их наличия и квалификации.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В соответствии с тематикой Школы здоровья и конкретного занятия могут принимать участие участковый (семейный) врач, кардиолог, диетолог, врач или инструктор по ЛФК, пульмонолог, эндокринолог, акушер-гинеколог, психотерапевт или психолог и др.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2.     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Цели Школ здоровья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2.1.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Повышение информированности пациентов о заболевании и факторах риска развития заболеваний и осложнений.</w:t>
      </w:r>
    </w:p>
    <w:p w:rsidR="00AA7434" w:rsidRPr="007158D3" w:rsidRDefault="00AA7434" w:rsidP="007158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2.2.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Повышение ответственности пациента за сохранение здоровья.</w:t>
      </w:r>
    </w:p>
    <w:p w:rsidR="00AA7434" w:rsidRPr="007158D3" w:rsidRDefault="00AA7434" w:rsidP="007158D3">
      <w:pPr>
        <w:shd w:val="clear" w:color="auto" w:fill="FFFFFF"/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2.3.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Формирование рационального и активного отношения пациента к здоровью, мотивации к оздоровлению, приверженности к лечению.</w:t>
      </w:r>
    </w:p>
    <w:p w:rsidR="00AA7434" w:rsidRPr="007158D3" w:rsidRDefault="00AA7434" w:rsidP="007158D3">
      <w:pPr>
        <w:shd w:val="clear" w:color="auto" w:fill="FFFFFF"/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2.4.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Формирование умений и навыков по самоконтролю и самопомощи в неотложных ситуациях.</w:t>
      </w:r>
    </w:p>
    <w:p w:rsidR="00AA7434" w:rsidRPr="007158D3" w:rsidRDefault="00AA7434" w:rsidP="007158D3">
      <w:pPr>
        <w:shd w:val="clear" w:color="auto" w:fill="FFFFFF"/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2.5.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Формирование у пациентов навыков и умений по снижению неблагоприятного выявления на здоровье поведенческих, управляемых факторов риска.</w:t>
      </w:r>
    </w:p>
    <w:p w:rsidR="00AA7434" w:rsidRPr="007158D3" w:rsidRDefault="00AA7434" w:rsidP="007158D3">
      <w:pPr>
        <w:shd w:val="clear" w:color="auto" w:fill="FFFFFF"/>
        <w:spacing w:after="0"/>
        <w:ind w:left="709" w:right="20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360" w:right="20" w:hanging="360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3.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Задачи Школ здоровья</w:t>
      </w:r>
    </w:p>
    <w:p w:rsidR="00AA7434" w:rsidRPr="007158D3" w:rsidRDefault="00AA7434" w:rsidP="007158D3">
      <w:pPr>
        <w:shd w:val="clear" w:color="auto" w:fill="FFFFFF"/>
        <w:spacing w:after="0"/>
        <w:ind w:left="20" w:righ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3.1.   В доступной популярной форме информирование населения о причинах и механизмах развития заболеваний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3.2.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Ознакомление населения с различными факторами риска (неуправляемыми, частично управляемыми, управляемыми) и их ролью в формировании заболеваний.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3.3.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Формирование рационального и активного отношения человека к здоровью, мотивации к оздоровлению.</w:t>
      </w:r>
    </w:p>
    <w:p w:rsidR="00AA7434" w:rsidRPr="007158D3" w:rsidRDefault="00AA7434" w:rsidP="007158D3">
      <w:pPr>
        <w:shd w:val="clear" w:color="auto" w:fill="FFFFFF"/>
        <w:spacing w:after="0"/>
        <w:ind w:left="20" w:righ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3.4.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Повышение ответственности человека за сохранение своего здоровья.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3.5.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Формирование у населения навыков и умения по снижению неблагоприятного влияния на здоровье поведенческих, управляемых факторов риска (питание, двигательная активность, управление стрессом, отказ от вредных привычек и др.).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lastRenderedPageBreak/>
        <w:t>3.6.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Повышения взаимопонимания и сотрудничества между врачом и пациентом и всеми членами его семьи в вопросах профилактики заболеваний.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3.7.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Ориентирование населения на успех в укреплении здоровья только через формирование здорового образа жизни.</w:t>
      </w:r>
    </w:p>
    <w:p w:rsidR="00AA7434" w:rsidRPr="007158D3" w:rsidRDefault="00AA7434" w:rsidP="007158D3">
      <w:pPr>
        <w:shd w:val="clear" w:color="auto" w:fill="FFFFFF"/>
        <w:spacing w:after="0"/>
        <w:ind w:left="20" w:righ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pacing w:val="5"/>
          <w:sz w:val="28"/>
          <w:szCs w:val="28"/>
          <w:bdr w:val="none" w:sz="0" w:space="0" w:color="auto" w:frame="1"/>
        </w:rPr>
        <w:t>4.</w:t>
      </w:r>
      <w:r w:rsidRPr="007158D3">
        <w:rPr>
          <w:rFonts w:ascii="Times New Roman" w:eastAsia="Times New Roman" w:hAnsi="Times New Roman" w:cs="Times New Roman"/>
          <w:color w:val="4D4D4D"/>
          <w:spacing w:val="5"/>
          <w:sz w:val="28"/>
          <w:szCs w:val="28"/>
          <w:bdr w:val="none" w:sz="0" w:space="0" w:color="auto" w:frame="1"/>
        </w:rPr>
        <w:t>     </w:t>
      </w:r>
      <w:r w:rsidRPr="007158D3">
        <w:rPr>
          <w:rFonts w:ascii="Times New Roman" w:eastAsia="Times New Roman" w:hAnsi="Times New Roman" w:cs="Times New Roman"/>
          <w:color w:val="4D4D4D"/>
          <w:spacing w:val="5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Оснащенность Школ здоровья</w:t>
      </w:r>
    </w:p>
    <w:p w:rsidR="00AA7434" w:rsidRPr="007158D3" w:rsidRDefault="00AA7434" w:rsidP="007158D3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Занятия в Школе должны проводиться в отдельном, специально - оборудованном для данных целей помещении, площадь учебного помещения должна быть в расчете 4м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vertAlign w:val="superscript"/>
        </w:rPr>
        <w:t>2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на 1 место.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Оборудование помещения, где проводятся занятия в Школе должно обеспечить возможность реализации основных целей обучения, а также возможность демонстрации материала. Оборудование может быть условно разделено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на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обязательное и дополнительное (желательное).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4.1.           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Обязательное оборудование Школы здоровья: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стол и стулья в достаточном количестве;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proofErr w:type="gramStart"/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проектор (мультимедиа), компьютер;</w:t>
      </w:r>
      <w:proofErr w:type="gramEnd"/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proofErr w:type="spell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раздаточно</w:t>
      </w:r>
      <w:proofErr w:type="spell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-демонстрационный материал (дневники, памятки, буклеты, плакаты и др.).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4.2.           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Дополнительное (желательное) оборудование Школы: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принтер, ксерокс, программное обеспечение для создания и обновления базы данных на прошедших обучение пациентов;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аудио- и видеоаппаратура, аудио- и видеоматериалы;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тренажеры, зал для занятий лечебной и оздоровительной физкультурой.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4.3.           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Обязательное оснащение в зависимости от профиля Школы здоровья: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Школа для пациентов с артериальной гипертонией: тонометры (не менее 5 штук, желательно автоматические), фонендоскопы (при наличии механических или полуавтоматических тонометров), напольные весы, ростомер, сантиметр для измерения окружности талии, препараты для лечения гипертонического криза и приступа стенокардии.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Школа для желающих бросить курить: газоанализатор окиси углерода в выдыхаемом воздухе с определением карбоксигемоглобина или </w:t>
      </w:r>
      <w:proofErr w:type="spell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смокелайзер</w:t>
      </w:r>
      <w:proofErr w:type="spell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, загубники картонные одноразовые.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bdr w:val="none" w:sz="0" w:space="0" w:color="auto" w:frame="1"/>
        </w:rPr>
        <w:lastRenderedPageBreak/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sz w:val="28"/>
          <w:szCs w:val="28"/>
        </w:rPr>
      </w:pPr>
      <w:bookmarkStart w:id="0" w:name="bookmark2"/>
      <w:r w:rsidRPr="007158D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bdr w:val="none" w:sz="0" w:space="0" w:color="auto" w:frame="1"/>
        </w:rPr>
        <w:t>Перечень учетно-отчетной документации Школы здоровья</w:t>
      </w:r>
      <w:bookmarkEnd w:id="0"/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pacing w:val="5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1.        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Журнал регистрации пациентов, обучающихся в Школе здоровья.</w:t>
      </w:r>
    </w:p>
    <w:p w:rsidR="00AA7434" w:rsidRPr="007158D3" w:rsidRDefault="00AA7434" w:rsidP="007158D3">
      <w:pPr>
        <w:shd w:val="clear" w:color="auto" w:fill="FFFFFF"/>
        <w:spacing w:after="0"/>
        <w:ind w:left="20" w:right="1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Учет пациентов, обучающихся в Школе здоровья, осуществляется в отдельном журнале для каждого вида Школы. В журнале заполняется таблица на каждый цикл занятий (таблица № 1). Отметка о присутствии пациента на занятии должна сопровождаться полной подписью фамилии медицинского работника, проводящего занятие. Целесообразно перед началом первого занятия предложить пациентам заполнить анкету для получения информации.</w:t>
      </w:r>
    </w:p>
    <w:p w:rsidR="00AA7434" w:rsidRPr="007158D3" w:rsidRDefault="00AA7434" w:rsidP="007158D3">
      <w:pPr>
        <w:shd w:val="clear" w:color="auto" w:fill="FFFFFF"/>
        <w:spacing w:after="0"/>
        <w:ind w:left="20" w:right="1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right="1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Таблица №1</w:t>
      </w:r>
    </w:p>
    <w:p w:rsidR="00AA7434" w:rsidRPr="007158D3" w:rsidRDefault="00AA7434" w:rsidP="007158D3">
      <w:pPr>
        <w:shd w:val="clear" w:color="auto" w:fill="FFFFFF"/>
        <w:spacing w:after="0"/>
        <w:ind w:left="20" w:right="1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Образец заполнения журнала регистрации пациентов, обучающихся в Школе здоровья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tbl>
      <w:tblPr>
        <w:tblW w:w="10635" w:type="dxa"/>
        <w:tblInd w:w="-11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72"/>
        <w:gridCol w:w="1276"/>
        <w:gridCol w:w="1975"/>
        <w:gridCol w:w="737"/>
        <w:gridCol w:w="737"/>
        <w:gridCol w:w="737"/>
        <w:gridCol w:w="737"/>
        <w:gridCol w:w="738"/>
      </w:tblGrid>
      <w:tr w:rsidR="00AA7434" w:rsidRPr="007158D3" w:rsidTr="00CB3892">
        <w:trPr>
          <w:trHeight w:val="298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  <w:r w:rsidRPr="007158D3">
              <w:rPr>
                <w:rFonts w:ascii="Arial" w:eastAsia="Times New Roman" w:hAnsi="Arial" w:cs="Arial"/>
                <w:color w:val="4D4D4D"/>
                <w:sz w:val="28"/>
                <w:szCs w:val="28"/>
              </w:rPr>
              <w:t>№</w:t>
            </w:r>
          </w:p>
        </w:tc>
        <w:tc>
          <w:tcPr>
            <w:tcW w:w="3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  <w:r w:rsidRPr="007158D3">
              <w:rPr>
                <w:rFonts w:ascii="Arial" w:eastAsia="Times New Roman" w:hAnsi="Arial" w:cs="Arial"/>
                <w:color w:val="4D4D4D"/>
                <w:sz w:val="28"/>
                <w:szCs w:val="28"/>
              </w:rPr>
              <w:t>ФИО пациента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  <w:r w:rsidRPr="007158D3">
              <w:rPr>
                <w:rFonts w:ascii="Arial" w:eastAsia="Times New Roman" w:hAnsi="Arial" w:cs="Arial"/>
                <w:color w:val="4D4D4D"/>
                <w:sz w:val="28"/>
                <w:szCs w:val="28"/>
              </w:rPr>
              <w:t>Возраст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  <w:r w:rsidRPr="007158D3">
              <w:rPr>
                <w:rFonts w:ascii="Arial" w:eastAsia="Times New Roman" w:hAnsi="Arial" w:cs="Arial"/>
                <w:color w:val="4D4D4D"/>
                <w:sz w:val="28"/>
                <w:szCs w:val="28"/>
              </w:rPr>
              <w:t>Контактный</w:t>
            </w:r>
          </w:p>
          <w:p w:rsidR="00AA7434" w:rsidRPr="007158D3" w:rsidRDefault="00AA7434" w:rsidP="007158D3">
            <w:pPr>
              <w:spacing w:after="0"/>
              <w:ind w:left="2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  <w:r w:rsidRPr="007158D3">
              <w:rPr>
                <w:rFonts w:ascii="Arial" w:eastAsia="Times New Roman" w:hAnsi="Arial" w:cs="Arial"/>
                <w:color w:val="4D4D4D"/>
                <w:sz w:val="28"/>
                <w:szCs w:val="28"/>
              </w:rPr>
              <w:t>телефон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  <w:r w:rsidRPr="007158D3">
              <w:rPr>
                <w:rFonts w:ascii="Arial" w:eastAsia="Times New Roman" w:hAnsi="Arial" w:cs="Arial"/>
                <w:color w:val="4D4D4D"/>
                <w:sz w:val="28"/>
                <w:szCs w:val="28"/>
              </w:rPr>
              <w:t>Дата</w:t>
            </w:r>
          </w:p>
        </w:tc>
      </w:tr>
      <w:tr w:rsidR="00AA7434" w:rsidRPr="007158D3" w:rsidTr="00CB389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7434" w:rsidRPr="007158D3" w:rsidRDefault="00AA7434" w:rsidP="007158D3">
            <w:pPr>
              <w:spacing w:after="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7434" w:rsidRPr="007158D3" w:rsidRDefault="00AA7434" w:rsidP="007158D3">
            <w:pPr>
              <w:spacing w:after="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7434" w:rsidRPr="007158D3" w:rsidRDefault="00AA7434" w:rsidP="007158D3">
            <w:pPr>
              <w:spacing w:after="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7434" w:rsidRPr="007158D3" w:rsidRDefault="00AA7434" w:rsidP="007158D3">
            <w:pPr>
              <w:spacing w:after="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A7434" w:rsidRPr="007158D3" w:rsidTr="00CB3892">
        <w:trPr>
          <w:trHeight w:val="38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/>
              <w:jc w:val="both"/>
              <w:rPr>
                <w:rFonts w:ascii="Arial" w:eastAsia="Times New Roman" w:hAnsi="Arial" w:cs="Arial"/>
                <w:color w:val="4D4D4D"/>
                <w:sz w:val="28"/>
                <w:szCs w:val="28"/>
              </w:rPr>
            </w:pPr>
            <w:r w:rsidRPr="007158D3">
              <w:rPr>
                <w:rFonts w:ascii="Arial" w:eastAsia="Times New Roman" w:hAnsi="Arial" w:cs="Arial"/>
                <w:color w:val="4D4D4D"/>
                <w:sz w:val="28"/>
                <w:szCs w:val="28"/>
              </w:rPr>
              <w:t>Отметка о присутствии</w:t>
            </w:r>
          </w:p>
        </w:tc>
      </w:tr>
      <w:tr w:rsidR="00AA7434" w:rsidRPr="007158D3" w:rsidTr="00CB3892">
        <w:trPr>
          <w:trHeight w:val="30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A7434" w:rsidRPr="007158D3" w:rsidTr="00CB3892">
        <w:trPr>
          <w:trHeight w:val="30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7434" w:rsidRPr="007158D3" w:rsidRDefault="00AA7434" w:rsidP="007158D3">
            <w:pPr>
              <w:spacing w:after="0"/>
              <w:ind w:left="20" w:firstLine="689"/>
              <w:jc w:val="both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7158D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2.                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Медицинская карта амбулаторного больного.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В амбулаторной карте должны быть записи о начале обучения в Школе здоровья, даты и темы каждого занятия, заверенные медицинским работником, проводившим занятие. Для тех, кто прошел обучение в Школе здоровья, на лицевой стороне медицинской карты амбулаторного больного ставится отметка о наименовании школы, с указанием даты завершения занятий в Школе.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 </w:t>
      </w:r>
      <w:bookmarkStart w:id="1" w:name="_GoBack"/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Требования к составлению и оформлению программы Школы здоровья</w:t>
      </w:r>
    </w:p>
    <w:bookmarkEnd w:id="1"/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</w:rPr>
        <w:t> 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Программа включает следующие структурные элементы: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титульный лист;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введение;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требования к уровню подготовки пациентов;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lastRenderedPageBreak/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план работы Школы и содержание рабочей программы;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proofErr w:type="spell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раздаточно</w:t>
      </w:r>
      <w:proofErr w:type="spell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-информационный материал;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средства контроля.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Титульный лист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содержит: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наименование медицинского учреждения;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гриф утверждения программы (с указанием даты и номера приказа главного врача медицинского учреждения);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название Школы здоровья;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Ф.И.О. сотрудника, разработавшего и реализующего данную программу;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год составления программы.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В тексте введения к программе указывается: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цели и задачи программы конкретной Школы здоровья;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особенности, предпочтительные формы организации занятий.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Подробным образом расписывается содержание каждого занятия. Каждое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занятие включает информационный материал и активные формы обучения, направленные на развитие умений и практических навыков пациента. Все занятия должны быть заранее хронометрированы, иметь четкие инструкции по ведению.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Информационная часть занятий проводится в течение каждого занятия дробно, по блокам не более 10-15 минут, чтобы избежать лекционной формы работы с пациентами.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Активная часть занятий содержит активную работу с пациентами, которая может проводиться в разных формах: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вопросы-ответы;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заполнение вопросников, имеющих отношение к теме занятия, и обсуждение их результатов;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проведение расчетов и оценок, (например; расчет индекса массы тела, суточной калорийности и др.);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обучение практическим навыкам (измерение артериального давления, подсчета пульса и т.д.);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знакомство со справочными таблицами и иными информационными материалами.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Требования к уровню подготовки пациентов представляют собой описание: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  <w:bdr w:val="none" w:sz="0" w:space="0" w:color="auto" w:frame="1"/>
        </w:rPr>
        <w:t>-                    </w:t>
      </w:r>
      <w:r w:rsidRPr="007158D3">
        <w:rPr>
          <w:rFonts w:ascii="Times New Roman" w:eastAsia="Times New Roman" w:hAnsi="Times New Roman" w:cs="Times New Roman"/>
          <w:color w:val="4D4D4D"/>
          <w:spacing w:val="3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требований к знаниям и умениям, которые должны приобрести пациенты в процессе занятий по программе;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lastRenderedPageBreak/>
        <w:t>- систему отслеживания и оценивания результатов: формы учета знаний, умений (приложение №4).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proofErr w:type="spell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Раздаточно</w:t>
      </w:r>
      <w:proofErr w:type="spell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-информационный материал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включает в себя наглядные пособия: брошюры, листовки, буклеты, памятки и пр.</w:t>
      </w:r>
    </w:p>
    <w:p w:rsidR="00AA7434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Структурный элемент рабочей программы «Средства контроля» включает систему контролирующих материалов (тестовых материалов, опросников и т.д.) для оценки освоения пациентами планируемого содержания (приложение №5).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</w:p>
    <w:p w:rsidR="003D457D" w:rsidRPr="007158D3" w:rsidRDefault="00AA7434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color w:val="4D4D4D"/>
          <w:sz w:val="28"/>
          <w:szCs w:val="28"/>
          <w:bdr w:val="none" w:sz="0" w:space="0" w:color="auto" w:frame="1"/>
        </w:rPr>
        <w:t> </w:t>
      </w:r>
      <w:r w:rsidR="003D457D" w:rsidRPr="007158D3">
        <w:rPr>
          <w:rFonts w:ascii="Times New Roman" w:eastAsia="Times New Roman" w:hAnsi="Times New Roman" w:cs="Times New Roman"/>
          <w:b/>
          <w:color w:val="4D4D4D"/>
          <w:sz w:val="28"/>
          <w:szCs w:val="28"/>
          <w:bdr w:val="none" w:sz="0" w:space="0" w:color="auto" w:frame="1"/>
        </w:rPr>
        <w:t xml:space="preserve">ПОЛОЖЕНИЕ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color w:val="4D4D4D"/>
          <w:sz w:val="28"/>
          <w:szCs w:val="28"/>
          <w:bdr w:val="none" w:sz="0" w:space="0" w:color="auto" w:frame="1"/>
        </w:rPr>
        <w:t xml:space="preserve">ОБ ОРГАНИЗАЦИИ ДЕЯТЕЛЬНОСТИ ШКОЛЫ ЗДОРОВЬЯ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b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b/>
          <w:color w:val="4D4D4D"/>
          <w:sz w:val="28"/>
          <w:szCs w:val="28"/>
          <w:bdr w:val="none" w:sz="0" w:space="0" w:color="auto" w:frame="1"/>
        </w:rPr>
        <w:t xml:space="preserve">ДЛЯ БОЛЬНЫХ С АРТЕРИАЛЬНОЙ ГИПЕРТОНИЕЙ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1. Общие положения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1.1. Школа здоровья для больных с артериальной гипертонией (далее - Школа) создается как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структурное  подразделение  на  базе  амбулаторно -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поликлинического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,  больничного,  </w:t>
      </w:r>
      <w:proofErr w:type="spell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санаторно</w:t>
      </w:r>
      <w:proofErr w:type="spell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-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курортного учреждения, кардиологического диспансера и центра медицинской профилактики.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1.2. В Школу для обучения направляются больные с артериальной гипертонией 1-3 степени,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с низким, средним и высоким риском сердечно - сосудистых осложнений.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При  формировании  групп  учитывается  однородность  больных  по  степени  выраженности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артериальной  гипертонии. 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Больные  с  осложненным  течением  заболеваний (инфаркт  миокарда, </w:t>
      </w:r>
      <w:proofErr w:type="gramEnd"/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инсульт и др.) обучаются и наблюдаются по программе реабилитации.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1.3.  Руководитель  Школы  ежегодно  представляет  отчет  о  своей  деятельности  в  отдел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медицинской статистики учреждения, на базе которого она функционирует.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1.4.  Школа  регистрируется  в  документах 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официальной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учетно</w:t>
      </w:r>
      <w:proofErr w:type="spell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- отчетной  медицинской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документации  и  включена 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в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 отраслевой  классификатор "Сложные  и  комплексные  медицинские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услуги".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2. Основные задачи Школы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Основными задачами Школы являются: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-  повышение  информированности  больных  с  артериальной  гипертонией  о  заболевании  и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факторах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риска ее развития и осложнений;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-  обучение  больных  с  артериальной  гипертонией  методам  снижения  неблагоприятного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влияния на здоровье поведенческих факторов риска (вредные привычки, питание, двигательная </w:t>
      </w:r>
      <w:proofErr w:type="gramEnd"/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активность, контроль стресса);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- обучение больных методам самоконтроля артериального давления и самопомощи, первой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доврачебной помощи при обострениях и гипертонических кризах;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-  формирование  у  больных  с  артериальной  гипертонией  ответственного  отношения 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к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здоровью;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-  повышение  мотивации  у  больных  с  артериальной  гипертонией  к  оздоровлению  и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приверженности к лечению и выполнению рекомендаций врача.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3. Основная деятельность Школы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Основной деятельностью Школы является: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3.1. Обучение больных с артериальной гипертонией по типовым программам.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3.2.  Контроль  уровня  полученных  знаний,  умений  и  навыков  у  больных  с 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артериальной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гипертонией,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обучающихся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в Школе.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3.3. Анализ эффективности обучения больных с артериальной гипертонией.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3.4.  Взаимодействие  со  всеми  структурными  подразделениями,  на  базе  которых  работает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Школа.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3.5.  Взаимодействие  со  Школами  для  больных  с  артериальной  гипертонией  в  других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медицинских </w:t>
      </w:r>
      <w:proofErr w:type="gramStart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учреждениях</w:t>
      </w:r>
      <w:proofErr w:type="gramEnd"/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, обмен опытом работы с целью ее совершенствования.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 Рекомендуемое оснащение Школы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Перечень оснащения: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4.1. Методические материалы для врача.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4.2. Тонометры, фонендоскопы (несколько комплектов).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4.3. Весы.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4.4. Ростомер.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4.5. Таблицы для определения индекса массы тела.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4.6. Наглядные пособия, методические и обучающие материалы для больных.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4.7. Оборудование для демонстрации методического материала.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4.8. Канцелярские товары и письменные принадлежности.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4.9. Дневник больного с артериальной гипертонией. </w:t>
      </w:r>
    </w:p>
    <w:p w:rsidR="003D457D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4.10. Журнал учета. </w:t>
      </w:r>
    </w:p>
    <w:p w:rsidR="00AA7434" w:rsidRPr="007158D3" w:rsidRDefault="003D457D" w:rsidP="007158D3">
      <w:pPr>
        <w:shd w:val="clear" w:color="auto" w:fill="FFFFFF"/>
        <w:spacing w:after="0"/>
        <w:ind w:left="20" w:firstLine="689"/>
        <w:jc w:val="both"/>
        <w:rPr>
          <w:rFonts w:ascii="Arial" w:eastAsia="Times New Roman" w:hAnsi="Arial" w:cs="Arial"/>
          <w:color w:val="4D4D4D"/>
          <w:sz w:val="28"/>
          <w:szCs w:val="28"/>
        </w:rPr>
      </w:pP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 xml:space="preserve">4.11. Анкеты для оценки обучения. </w:t>
      </w:r>
      <w:r w:rsidRPr="007158D3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cr/>
      </w:r>
    </w:p>
    <w:p w:rsidR="00AA7434" w:rsidRPr="007158D3" w:rsidRDefault="00AA7434" w:rsidP="007158D3">
      <w:pPr>
        <w:jc w:val="both"/>
        <w:rPr>
          <w:b/>
          <w:sz w:val="28"/>
          <w:szCs w:val="28"/>
        </w:rPr>
      </w:pPr>
    </w:p>
    <w:sectPr w:rsidR="00AA7434" w:rsidRPr="007158D3" w:rsidSect="0009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434"/>
    <w:rsid w:val="00080446"/>
    <w:rsid w:val="00091581"/>
    <w:rsid w:val="001B4BB4"/>
    <w:rsid w:val="003D457D"/>
    <w:rsid w:val="007158D3"/>
    <w:rsid w:val="007164D4"/>
    <w:rsid w:val="00887153"/>
    <w:rsid w:val="00923582"/>
    <w:rsid w:val="00A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2784</Words>
  <Characters>15875</Characters>
  <Application>Microsoft Office Word</Application>
  <DocSecurity>0</DocSecurity>
  <Lines>132</Lines>
  <Paragraphs>37</Paragraphs>
  <ScaleCrop>false</ScaleCrop>
  <Company>Microsoft</Company>
  <LinksUpToDate>false</LinksUpToDate>
  <CharactersWithSpaces>18622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Kaf1</cp:lastModifiedBy>
  <cp:revision>6</cp:revision>
  <dcterms:created xsi:type="dcterms:W3CDTF">2016-02-05T18:47:00Z</dcterms:created>
  <dcterms:modified xsi:type="dcterms:W3CDTF">2017-01-26T07:33:00Z</dcterms:modified>
</cp:coreProperties>
</file>