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высшего образования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«Оренбургский государственный медицинский университет»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Министерства здравоохранения Российской Федерации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МЕТОДИЧЕСКИЕ УКАЗАНИЯ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ПО САМОСТОЯТЕЛЬНОЙ РАБОТЕ ОБУЧАЮЩИХСЯ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DA29B2" w:rsidRPr="006076E7" w:rsidRDefault="00DA29B2" w:rsidP="00DA29B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дисциплина «</w:t>
      </w:r>
      <w:r w:rsidRPr="003E6198">
        <w:rPr>
          <w:rFonts w:eastAsia="Times New Roman"/>
          <w:b/>
          <w:color w:val="000000"/>
          <w:szCs w:val="28"/>
        </w:rPr>
        <w:t>Профилактика инфекции, связанных с оказанием медицинской помощи»</w:t>
      </w:r>
    </w:p>
    <w:p w:rsidR="00DA29B2" w:rsidRDefault="00DA29B2" w:rsidP="00DA29B2">
      <w:pPr>
        <w:ind w:firstLine="709"/>
        <w:jc w:val="center"/>
        <w:rPr>
          <w:b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по направлению подготовки (специальности) 32.08.12 «Эпидемиология».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«Эпидемиология» 32.08.12 утвержденной ученым советом ФГБОУ ВО </w:t>
      </w:r>
      <w:proofErr w:type="spellStart"/>
      <w:r>
        <w:rPr>
          <w:rFonts w:eastAsia="Calibri" w:cs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  <w:lang w:eastAsia="ru-RU"/>
        </w:rPr>
        <w:t>протокол № 11 от 22 июня 2018 г.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Cs w:val="24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Оренбург 2018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lastRenderedPageBreak/>
        <w:t xml:space="preserve">1.Пояснительная записка </w:t>
      </w:r>
    </w:p>
    <w:p w:rsidR="00CC30B6" w:rsidRDefault="00CC30B6" w:rsidP="00F3190D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Самостоятельная работа</w:t>
      </w:r>
      <w:r w:rsidR="00F3190D">
        <w:rPr>
          <w:rFonts w:eastAsia="Times New Roman" w:cs="Times New Roman"/>
          <w:szCs w:val="20"/>
          <w:lang w:eastAsia="ru-RU"/>
        </w:rPr>
        <w:t>,</w:t>
      </w:r>
      <w:r>
        <w:rPr>
          <w:rFonts w:eastAsia="Times New Roman" w:cs="Times New Roman"/>
          <w:szCs w:val="20"/>
          <w:lang w:eastAsia="ru-RU"/>
        </w:rPr>
        <w:t xml:space="preserve"> форма организации образовательного процесса, стимулирующая активность, самостоятельность, позн</w:t>
      </w:r>
      <w:r w:rsidR="00F3190D">
        <w:rPr>
          <w:rFonts w:eastAsia="Times New Roman" w:cs="Times New Roman"/>
          <w:szCs w:val="20"/>
          <w:lang w:eastAsia="ru-RU"/>
        </w:rPr>
        <w:t xml:space="preserve">авательный интерес обучающихся, </w:t>
      </w:r>
      <w:r>
        <w:rPr>
          <w:rFonts w:eastAsia="Times New Roman" w:cs="Times New Roman"/>
          <w:szCs w:val="20"/>
          <w:lang w:eastAsia="ru-RU"/>
        </w:rPr>
        <w:t xml:space="preserve">является обязательным компонентом образовательного процесса,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Самостоятельная работа обучающихся представляет собой совокупность внеаудиторных занятий и работ, обеспечивающих успешное освоение образовательной программы высшего образования в соответствии с требованиями ФГОС.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Целью самостоятельной работы является: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углубление знаний по вопросам эпидемиологии</w:t>
      </w:r>
      <w:r w:rsidR="00F21D46">
        <w:rPr>
          <w:rFonts w:eastAsia="Times New Roman" w:cs="Times New Roman"/>
          <w:szCs w:val="20"/>
          <w:lang w:eastAsia="ru-RU"/>
        </w:rPr>
        <w:t xml:space="preserve"> инфекций, связанных с оказанием медицинской помощи</w:t>
      </w:r>
      <w:r>
        <w:rPr>
          <w:rFonts w:eastAsia="Times New Roman" w:cs="Times New Roman"/>
          <w:szCs w:val="20"/>
          <w:lang w:eastAsia="ru-RU"/>
        </w:rPr>
        <w:t>;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совершенствование умений поиска специфической информации и составления систематического обзора</w:t>
      </w:r>
      <w:r w:rsidR="00F21D46">
        <w:rPr>
          <w:rFonts w:eastAsia="Times New Roman" w:cs="Times New Roman"/>
          <w:szCs w:val="20"/>
          <w:lang w:eastAsia="ru-RU"/>
        </w:rPr>
        <w:t>.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2. Содержание самостоятельной работы ординатора.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 w:val="8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835"/>
        <w:gridCol w:w="2410"/>
        <w:gridCol w:w="2251"/>
        <w:gridCol w:w="2039"/>
      </w:tblGrid>
      <w:tr w:rsidR="00CC30B6" w:rsidTr="00CC3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Тема самостоятельной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Форма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самостоятельной работы</w:t>
            </w:r>
            <w:r>
              <w:rPr>
                <w:rFonts w:eastAsia="Times New Roman" w:cs="Times New Roman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Форма контроля самостоятельной работы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(в соответствии с разделом 4 РП)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Форма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контактной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работы при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проведении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текущего </w:t>
            </w:r>
          </w:p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контроля</w:t>
            </w:r>
            <w:r>
              <w:rPr>
                <w:rFonts w:eastAsia="Times New Roman" w:cs="Times New Roman"/>
                <w:szCs w:val="20"/>
                <w:vertAlign w:val="superscript"/>
                <w:lang w:eastAsia="ru-RU"/>
              </w:rPr>
              <w:t>2</w:t>
            </w:r>
          </w:p>
        </w:tc>
      </w:tr>
      <w:tr w:rsidR="00CC30B6" w:rsidTr="00CC3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</w:tr>
      <w:tr w:rsidR="00CC30B6" w:rsidTr="00CC30B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i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i/>
                <w:szCs w:val="20"/>
                <w:lang w:eastAsia="ru-RU"/>
              </w:rPr>
              <w:t xml:space="preserve">Самостоятельная работа в рамках модуля </w:t>
            </w:r>
            <w:r>
              <w:rPr>
                <w:rFonts w:eastAsia="Times New Roman" w:cs="Times New Roman"/>
                <w:i/>
                <w:szCs w:val="20"/>
                <w:vertAlign w:val="superscript"/>
                <w:lang w:eastAsia="ru-RU"/>
              </w:rPr>
              <w:t>4</w:t>
            </w:r>
          </w:p>
        </w:tc>
      </w:tr>
      <w:tr w:rsidR="00CC30B6" w:rsidTr="00CC3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F3190D">
            <w:pPr>
              <w:tabs>
                <w:tab w:val="left" w:pos="326"/>
              </w:tabs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3190D">
              <w:rPr>
                <w:rFonts w:eastAsia="Times New Roman" w:cs="Times New Roman"/>
                <w:szCs w:val="20"/>
                <w:lang w:eastAsia="ru-RU"/>
              </w:rPr>
              <w:t>Темы определяются индивидуально в соответствии с тематикой научно-практической работы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ординатора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Информационный поиск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r>
              <w:t>КСР, на базе практической подготовки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6" w:rsidRDefault="00CC30B6">
            <w:pPr>
              <w:tabs>
                <w:tab w:val="left" w:pos="326"/>
              </w:tabs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Внеаудиторная </w:t>
            </w:r>
          </w:p>
        </w:tc>
      </w:tr>
    </w:tbl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3. Методические указания по выполнению информационного поиска (поиска неструктурированной информации)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Задачи современного информационного поиска: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решение вопросов моделирования;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классификация документов;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фильтрация, классификация документов;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проектирование архитектур поисковых систем и пользовательских интерфейсов;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извлечение информации (аннотирование и подготовка систематического обзора); </w:t>
      </w:r>
    </w:p>
    <w:p w:rsidR="00CC30B6" w:rsidRDefault="00CC30B6" w:rsidP="00CC30B6">
      <w:pPr>
        <w:pStyle w:val="a4"/>
        <w:numPr>
          <w:ilvl w:val="0"/>
          <w:numId w:val="1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выбор информационно-поискового языка запроса в поисковых системах.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В процессе выполнения самостоятельной работы ординатор может использовать различные виды поиска (</w:t>
      </w:r>
      <w:r>
        <w:rPr>
          <w:rFonts w:eastAsia="Times New Roman" w:cs="Times New Roman"/>
          <w:i/>
          <w:szCs w:val="20"/>
          <w:lang w:eastAsia="ru-RU"/>
        </w:rPr>
        <w:t>преподаватель может сразу указать необходимый для выполнения задания вид информационного поиска)</w:t>
      </w:r>
      <w:r>
        <w:rPr>
          <w:rFonts w:eastAsia="Times New Roman" w:cs="Times New Roman"/>
          <w:szCs w:val="20"/>
          <w:lang w:eastAsia="ru-RU"/>
        </w:rPr>
        <w:t xml:space="preserve">: </w:t>
      </w:r>
    </w:p>
    <w:p w:rsidR="00CC30B6" w:rsidRDefault="00CC30B6" w:rsidP="00CC30B6">
      <w:pPr>
        <w:pStyle w:val="a4"/>
        <w:numPr>
          <w:ilvl w:val="0"/>
          <w:numId w:val="2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CC30B6" w:rsidRDefault="00CC30B6" w:rsidP="00CC30B6">
      <w:pPr>
        <w:pStyle w:val="a4"/>
        <w:numPr>
          <w:ilvl w:val="0"/>
          <w:numId w:val="2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CC30B6" w:rsidRDefault="00CC30B6" w:rsidP="00CC30B6">
      <w:pPr>
        <w:pStyle w:val="a4"/>
        <w:numPr>
          <w:ilvl w:val="0"/>
          <w:numId w:val="2"/>
        </w:numPr>
        <w:tabs>
          <w:tab w:val="left" w:pos="708"/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t xml:space="preserve">Алгоритм выполнения задания: 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определение области знаний;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выбор типа и источников данных; 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сбор материалов, необходимых для наполнения информационной модели; 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отбор наиболее полезной информации;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выбор метода обработки информации (классификация, кластеризация, регрессионный анализ и т.д.); 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выбор алгоритма поиска закономерностей; 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поиск закономерностей, формальных правил и структурных связей в собранной информации;</w:t>
      </w:r>
    </w:p>
    <w:p w:rsidR="00CC30B6" w:rsidRDefault="00CC30B6" w:rsidP="00CC30B6">
      <w:pPr>
        <w:pStyle w:val="a4"/>
        <w:numPr>
          <w:ilvl w:val="0"/>
          <w:numId w:val="3"/>
        </w:numPr>
        <w:tabs>
          <w:tab w:val="left" w:pos="708"/>
          <w:tab w:val="left" w:pos="993"/>
        </w:tabs>
        <w:spacing w:line="240" w:lineRule="auto"/>
        <w:ind w:left="0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творческая интерпретация полученных результатов.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Методические указания по подготовке и оформлению систематического обзора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Систематический обзор – самостоятельная научно-исследовательская работа ординатора по раскрытию сути исследуемой проблемы, изложению различных точек зрения и собственных взглядов на нее. В систематическом обзоре, в последовательности,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Титульный лист систематического обзора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В оглавлении последовательно излагаются названия пунктов систематического обзора, указываются страницы, с которых начинается каждый пункт.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Заключение: подводятся итоги или дается обобщенный вывод по теме систематического обзора. 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Содержание систематического обзора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C30B6" w:rsidRDefault="00CC30B6" w:rsidP="00CC30B6">
      <w:pPr>
        <w:pStyle w:val="a4"/>
        <w:numPr>
          <w:ilvl w:val="0"/>
          <w:numId w:val="4"/>
        </w:numPr>
        <w:tabs>
          <w:tab w:val="left" w:pos="360"/>
          <w:tab w:val="left" w:pos="708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актуальность рассматриваемой проблемы;</w:t>
      </w:r>
    </w:p>
    <w:p w:rsidR="00CC30B6" w:rsidRDefault="00CC30B6" w:rsidP="00CC30B6">
      <w:pPr>
        <w:pStyle w:val="a4"/>
        <w:numPr>
          <w:ilvl w:val="0"/>
          <w:numId w:val="4"/>
        </w:numPr>
        <w:tabs>
          <w:tab w:val="left" w:pos="360"/>
          <w:tab w:val="left" w:pos="708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обоснованность излагаемых проблем, вопросов, предложений;</w:t>
      </w:r>
    </w:p>
    <w:p w:rsidR="00CC30B6" w:rsidRDefault="00CC30B6" w:rsidP="00CC30B6">
      <w:pPr>
        <w:pStyle w:val="a4"/>
        <w:numPr>
          <w:ilvl w:val="0"/>
          <w:numId w:val="4"/>
        </w:numPr>
        <w:tabs>
          <w:tab w:val="left" w:pos="360"/>
          <w:tab w:val="left" w:pos="708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логичность, последовательность и краткость изложения.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Ссылки по тексту систематического обзора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>
        <w:rPr>
          <w:rFonts w:eastAsia="Times New Roman" w:cs="Times New Roman"/>
          <w:szCs w:val="28"/>
          <w:lang w:eastAsia="ru-RU"/>
        </w:rPr>
        <w:t>Times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New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Roman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» 14 </w:t>
      </w:r>
      <w:proofErr w:type="spellStart"/>
      <w:r>
        <w:rPr>
          <w:rFonts w:eastAsia="Times New Roman" w:cs="Times New Roman"/>
          <w:szCs w:val="28"/>
          <w:lang w:eastAsia="ru-RU"/>
        </w:rPr>
        <w:t>пт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межстрочный интервал, поля: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rFonts w:eastAsia="Times New Roman" w:cs="Times New Roman"/>
            <w:szCs w:val="28"/>
            <w:lang w:eastAsia="ru-RU"/>
          </w:rPr>
          <w:t>10 мм</w:t>
        </w:r>
      </w:smartTag>
      <w:r>
        <w:rPr>
          <w:rFonts w:eastAsia="Times New Roman" w:cs="Times New Roman"/>
          <w:szCs w:val="28"/>
          <w:lang w:eastAsia="ru-RU"/>
        </w:rPr>
        <w:t xml:space="preserve">; верхнее, левое и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eastAsia="Times New Roman" w:cs="Times New Roman"/>
            <w:szCs w:val="28"/>
            <w:lang w:eastAsia="ru-RU"/>
          </w:rPr>
          <w:t>20 мм</w:t>
        </w:r>
      </w:smartTag>
      <w:r>
        <w:rPr>
          <w:rFonts w:eastAsia="Times New Roman" w:cs="Times New Roman"/>
          <w:szCs w:val="28"/>
          <w:lang w:eastAsia="ru-RU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CC30B6" w:rsidRDefault="00CC30B6" w:rsidP="00CC30B6">
      <w:pPr>
        <w:tabs>
          <w:tab w:val="left" w:pos="708"/>
        </w:tabs>
        <w:spacing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DE307D" w:rsidRDefault="00DE307D"/>
    <w:sectPr w:rsidR="00DE307D" w:rsidSect="00D2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31E"/>
    <w:multiLevelType w:val="hybridMultilevel"/>
    <w:tmpl w:val="75DABD16"/>
    <w:lvl w:ilvl="0" w:tplc="8C168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2079FE"/>
    <w:multiLevelType w:val="hybridMultilevel"/>
    <w:tmpl w:val="ACFE0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12753B"/>
    <w:multiLevelType w:val="hybridMultilevel"/>
    <w:tmpl w:val="3022DA1E"/>
    <w:lvl w:ilvl="0" w:tplc="8C168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0A3D1F"/>
    <w:multiLevelType w:val="hybridMultilevel"/>
    <w:tmpl w:val="42B6939E"/>
    <w:lvl w:ilvl="0" w:tplc="8C168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0B6"/>
    <w:rsid w:val="00203A5F"/>
    <w:rsid w:val="002F602F"/>
    <w:rsid w:val="00832E17"/>
    <w:rsid w:val="00B05E25"/>
    <w:rsid w:val="00CC30B6"/>
    <w:rsid w:val="00D21BF6"/>
    <w:rsid w:val="00DA29B2"/>
    <w:rsid w:val="00DE307D"/>
    <w:rsid w:val="00E32733"/>
    <w:rsid w:val="00EB1809"/>
    <w:rsid w:val="00F21D46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4A4926-2A74-48CB-8155-A1B49A5E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B6"/>
    <w:pPr>
      <w:spacing w:after="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809"/>
    <w:pPr>
      <w:spacing w:after="0" w:line="240" w:lineRule="auto"/>
    </w:pPr>
    <w:rPr>
      <w:rFonts w:ascii="Times New Roman" w:hAnsi="Times New Roman"/>
      <w:caps/>
      <w:sz w:val="28"/>
    </w:rPr>
  </w:style>
  <w:style w:type="paragraph" w:styleId="a4">
    <w:name w:val="List Paragraph"/>
    <w:basedOn w:val="a"/>
    <w:uiPriority w:val="34"/>
    <w:qFormat/>
    <w:rsid w:val="00CC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2020-01-14T05:51:00Z</dcterms:created>
  <dcterms:modified xsi:type="dcterms:W3CDTF">2020-01-14T18:25:00Z</dcterms:modified>
</cp:coreProperties>
</file>