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D80849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профессиональные болезни</w:t>
      </w:r>
    </w:p>
    <w:p w:rsidR="0058608A" w:rsidRPr="00A164C4" w:rsidRDefault="0058608A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6B0D13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31.05.01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Лечебное дело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6B0D13">
        <w:rPr>
          <w:rFonts w:ascii="Times New Roman" w:hAnsi="Times New Roman"/>
          <w:i/>
          <w:sz w:val="24"/>
          <w:szCs w:val="24"/>
        </w:rPr>
        <w:t>31.05.01 – Лечебное дело,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58C" w:rsidRPr="0047458C" w:rsidRDefault="0047458C" w:rsidP="0047458C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47458C">
        <w:rPr>
          <w:rFonts w:ascii="Times New Roman" w:hAnsi="Times New Roman"/>
          <w:color w:val="000000"/>
          <w:sz w:val="24"/>
          <w:szCs w:val="24"/>
        </w:rPr>
        <w:t>протокол № 8 от «25» марта 2016г.</w:t>
      </w:r>
    </w:p>
    <w:bookmarkEnd w:id="0"/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2C3608" w:rsidRPr="00A164C4" w:rsidRDefault="002C3608" w:rsidP="009125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B52634" w:rsidRPr="00D36FD5" w:rsidRDefault="005C1CC4" w:rsidP="00B52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 Профессиональные заболевания. Определение. Классификация. Профессиональные заболевания органов дыхания.</w:t>
      </w:r>
      <w:r w:rsidR="00B52634">
        <w:rPr>
          <w:rFonts w:ascii="Times New Roman" w:hAnsi="Times New Roman"/>
          <w:b/>
          <w:sz w:val="24"/>
          <w:szCs w:val="24"/>
        </w:rPr>
        <w:t xml:space="preserve"> </w:t>
      </w:r>
      <w:r w:rsidR="00B52634" w:rsidRPr="00525407">
        <w:rPr>
          <w:rFonts w:ascii="Times New Roman" w:hAnsi="Times New Roman"/>
          <w:b/>
          <w:sz w:val="24"/>
          <w:szCs w:val="24"/>
        </w:rPr>
        <w:t>Пневмокониозы. Этиология. Патогенез. Современные методы диагностики и лечения.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52634" w:rsidRPr="00A454E5" w:rsidRDefault="005C1CC4" w:rsidP="00B5263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понятием профессиональные заболевания, классификациями профессиональных заболеваний </w:t>
      </w:r>
      <w:r w:rsidR="00B52634">
        <w:rPr>
          <w:sz w:val="24"/>
          <w:szCs w:val="24"/>
        </w:rPr>
        <w:t xml:space="preserve">и </w:t>
      </w:r>
      <w:r>
        <w:rPr>
          <w:sz w:val="24"/>
          <w:szCs w:val="24"/>
        </w:rPr>
        <w:t>профессиональ</w:t>
      </w:r>
      <w:r w:rsidR="00B52634">
        <w:rPr>
          <w:sz w:val="24"/>
          <w:szCs w:val="24"/>
        </w:rPr>
        <w:t xml:space="preserve">ных заболеваний органов дыхания, </w:t>
      </w:r>
      <w:r w:rsidR="00B52634" w:rsidRPr="004C20D0">
        <w:rPr>
          <w:sz w:val="24"/>
          <w:szCs w:val="24"/>
        </w:rPr>
        <w:t xml:space="preserve">с </w:t>
      </w:r>
      <w:r w:rsidR="00B52634">
        <w:rPr>
          <w:sz w:val="24"/>
          <w:szCs w:val="24"/>
        </w:rPr>
        <w:t>профессиональными заболеваниями органов дыхания – пневмокониозами: этиологией, патогенезом, современными методами диагностики и лечения.</w:t>
      </w:r>
    </w:p>
    <w:p w:rsidR="00B52634" w:rsidRPr="00525407" w:rsidRDefault="005C1CC4" w:rsidP="00B52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4E5">
        <w:rPr>
          <w:rFonts w:ascii="Times New Roman" w:hAnsi="Times New Roman"/>
          <w:sz w:val="24"/>
          <w:szCs w:val="24"/>
        </w:rPr>
        <w:t>Понятие о болезнях, связанных с работой</w:t>
      </w:r>
      <w:r>
        <w:rPr>
          <w:rFonts w:ascii="Times New Roman" w:hAnsi="Times New Roman"/>
          <w:sz w:val="24"/>
          <w:szCs w:val="24"/>
        </w:rPr>
        <w:t xml:space="preserve">. Определение профессиональных заболеваний. </w:t>
      </w:r>
      <w:r w:rsidRPr="00A454E5">
        <w:rPr>
          <w:rFonts w:ascii="Times New Roman" w:hAnsi="Times New Roman"/>
          <w:sz w:val="24"/>
          <w:szCs w:val="24"/>
        </w:rPr>
        <w:t>Структура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bCs/>
          <w:sz w:val="24"/>
          <w:szCs w:val="24"/>
        </w:rPr>
        <w:t>Клиническая группировка профессиональных заболеваний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Этиологический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химических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промышленными аэрозолями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физических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биологических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перенапряжением отдельных органов и систем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Системный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органов дыхания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системы крови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Профессиональные заболевания с преимущественным поражением </w:t>
      </w:r>
      <w:proofErr w:type="spellStart"/>
      <w:r w:rsidRPr="00A454E5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нервной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кожи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уха, горла, носа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опорно-двигательного аппарата, периферических мышц и нервов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Формы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Острые заболевания (отравления). </w:t>
      </w:r>
      <w:r w:rsidRPr="00A454E5">
        <w:rPr>
          <w:rFonts w:ascii="Times New Roman" w:hAnsi="Times New Roman"/>
          <w:sz w:val="24"/>
          <w:szCs w:val="24"/>
        </w:rPr>
        <w:t>Хронические заболевания (отравления)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Отдаленные последствия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A454E5">
        <w:rPr>
          <w:rFonts w:ascii="Times New Roman" w:hAnsi="Times New Roman"/>
          <w:sz w:val="24"/>
          <w:szCs w:val="24"/>
        </w:rPr>
        <w:t>недовыявляемости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профессиональных заболеваний</w:t>
      </w:r>
      <w:r>
        <w:rPr>
          <w:rFonts w:ascii="Times New Roman" w:hAnsi="Times New Roman"/>
          <w:sz w:val="24"/>
          <w:szCs w:val="24"/>
        </w:rPr>
        <w:t>. Классификация профессиональных заболеваний органов дыхания.</w:t>
      </w:r>
      <w:r w:rsidR="00B52634">
        <w:rPr>
          <w:rFonts w:ascii="Times New Roman" w:hAnsi="Times New Roman"/>
          <w:sz w:val="24"/>
          <w:szCs w:val="24"/>
        </w:rPr>
        <w:t xml:space="preserve"> </w:t>
      </w:r>
      <w:r w:rsidR="00B52634" w:rsidRPr="00525407">
        <w:rPr>
          <w:rFonts w:ascii="Times New Roman" w:hAnsi="Times New Roman"/>
          <w:bCs/>
          <w:sz w:val="24"/>
          <w:szCs w:val="24"/>
        </w:rPr>
        <w:t>Пневмокониозы</w:t>
      </w:r>
      <w:r w:rsidR="00B52634">
        <w:rPr>
          <w:rFonts w:ascii="Times New Roman" w:hAnsi="Times New Roman"/>
          <w:bCs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Классификация пневмокониозов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Патогенез пневмокониозов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Патологическая анатомия пневмокониозов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 xml:space="preserve">Пневмокониозы от воздействия высоко и умеренно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фиброгенной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пыли (силикоз,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силикосиликатоз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и др.)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Клиника, формы и темпы прогрессирования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B52634">
        <w:rPr>
          <w:rFonts w:ascii="Times New Roman" w:hAnsi="Times New Roman"/>
          <w:sz w:val="24"/>
          <w:szCs w:val="24"/>
        </w:rPr>
        <w:t>. Осложнения (т</w:t>
      </w:r>
      <w:r w:rsidR="00B52634" w:rsidRPr="00525407">
        <w:rPr>
          <w:rFonts w:ascii="Times New Roman" w:hAnsi="Times New Roman"/>
          <w:sz w:val="24"/>
          <w:szCs w:val="24"/>
        </w:rPr>
        <w:t>уберкулез</w:t>
      </w:r>
      <w:r w:rsidR="00B52634">
        <w:rPr>
          <w:rFonts w:ascii="Times New Roman" w:hAnsi="Times New Roman"/>
          <w:sz w:val="24"/>
          <w:szCs w:val="24"/>
        </w:rPr>
        <w:t>, х</w:t>
      </w:r>
      <w:r w:rsidR="00B52634" w:rsidRPr="00525407">
        <w:rPr>
          <w:rFonts w:ascii="Times New Roman" w:hAnsi="Times New Roman"/>
          <w:sz w:val="24"/>
          <w:szCs w:val="24"/>
        </w:rPr>
        <w:t>ронический бронхит</w:t>
      </w:r>
      <w:r w:rsidR="00B52634">
        <w:rPr>
          <w:rFonts w:ascii="Times New Roman" w:hAnsi="Times New Roman"/>
          <w:sz w:val="24"/>
          <w:szCs w:val="24"/>
        </w:rPr>
        <w:t>, р</w:t>
      </w:r>
      <w:r w:rsidR="00B52634" w:rsidRPr="00525407">
        <w:rPr>
          <w:rFonts w:ascii="Times New Roman" w:hAnsi="Times New Roman"/>
          <w:sz w:val="24"/>
          <w:szCs w:val="24"/>
        </w:rPr>
        <w:t>ак легкого</w:t>
      </w:r>
      <w:r w:rsidR="00B52634">
        <w:rPr>
          <w:rFonts w:ascii="Times New Roman" w:hAnsi="Times New Roman"/>
          <w:sz w:val="24"/>
          <w:szCs w:val="24"/>
        </w:rPr>
        <w:t>, л</w:t>
      </w:r>
      <w:r w:rsidR="00B52634" w:rsidRPr="00525407">
        <w:rPr>
          <w:rFonts w:ascii="Times New Roman" w:hAnsi="Times New Roman"/>
          <w:sz w:val="24"/>
          <w:szCs w:val="24"/>
        </w:rPr>
        <w:t>егочно-сердечная недостаточность</w:t>
      </w:r>
      <w:r w:rsidR="00B52634">
        <w:rPr>
          <w:rFonts w:ascii="Times New Roman" w:hAnsi="Times New Roman"/>
          <w:sz w:val="24"/>
          <w:szCs w:val="24"/>
        </w:rPr>
        <w:t xml:space="preserve">). </w:t>
      </w:r>
      <w:r w:rsidR="00B52634" w:rsidRPr="00525407">
        <w:rPr>
          <w:rFonts w:ascii="Times New Roman" w:hAnsi="Times New Roman"/>
          <w:sz w:val="24"/>
          <w:szCs w:val="24"/>
        </w:rPr>
        <w:t xml:space="preserve">Пневмокониозы от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слабофиброгенной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пыли (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силикатозы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и др.) и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рентгеноконтрастной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пыли (сидероз и др.)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Клиника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Осложнения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Пневмокониозы от аэрозолей токсико-аллергического действия (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бериллиоз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алюминоз</w:t>
      </w:r>
      <w:proofErr w:type="spellEnd"/>
      <w:r w:rsidR="00B52634" w:rsidRPr="00525407">
        <w:rPr>
          <w:rFonts w:ascii="Times New Roman" w:hAnsi="Times New Roman"/>
          <w:sz w:val="24"/>
          <w:szCs w:val="24"/>
        </w:rPr>
        <w:t xml:space="preserve"> и др.)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Клиника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Иммунологические исследования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Осложнения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Дифференциальная диагностика пневмокониозов с различными формами интерстициальных заболеваний легких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bCs/>
          <w:sz w:val="24"/>
          <w:szCs w:val="24"/>
        </w:rPr>
        <w:t>Принципы и методы лечения профессиональных заболеваний легких и их профилактика</w:t>
      </w:r>
      <w:r w:rsidR="00B52634">
        <w:rPr>
          <w:rFonts w:ascii="Times New Roman" w:hAnsi="Times New Roman"/>
          <w:bCs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Лечение пневмокониозов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Патогенетическая терапия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Симптоматическая терапия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Профилактика профессиональных заболеваний легких и их осложнений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 xml:space="preserve">Общегигиенические и инженерно-технические методы </w:t>
      </w:r>
      <w:proofErr w:type="spellStart"/>
      <w:r w:rsidR="00B52634" w:rsidRPr="00525407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ПМО и отбор групп повышенного риска профессиональных заболеваний легких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Принципы диспансеризации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bCs/>
          <w:sz w:val="24"/>
          <w:szCs w:val="24"/>
        </w:rPr>
        <w:t xml:space="preserve">Экспертиза трудоспособности и реабилитация при </w:t>
      </w:r>
      <w:r w:rsidR="00B52634">
        <w:rPr>
          <w:rFonts w:ascii="Times New Roman" w:hAnsi="Times New Roman"/>
          <w:bCs/>
          <w:sz w:val="24"/>
          <w:szCs w:val="24"/>
        </w:rPr>
        <w:t xml:space="preserve">пневмокониозах. </w:t>
      </w:r>
      <w:r w:rsidR="00B52634" w:rsidRPr="00525407">
        <w:rPr>
          <w:rFonts w:ascii="Times New Roman" w:hAnsi="Times New Roman"/>
          <w:sz w:val="24"/>
          <w:szCs w:val="24"/>
        </w:rPr>
        <w:t>Общие принципы экспертизы трудоспособности при пневмокониозах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>Особенности экспертизы трудоспособности при различных пневмокониозах</w:t>
      </w:r>
      <w:r w:rsidR="00B52634">
        <w:rPr>
          <w:rFonts w:ascii="Times New Roman" w:hAnsi="Times New Roman"/>
          <w:sz w:val="24"/>
          <w:szCs w:val="24"/>
        </w:rPr>
        <w:t xml:space="preserve">. </w:t>
      </w:r>
      <w:r w:rsidR="00B52634" w:rsidRPr="00525407">
        <w:rPr>
          <w:rFonts w:ascii="Times New Roman" w:hAnsi="Times New Roman"/>
          <w:sz w:val="24"/>
          <w:szCs w:val="24"/>
        </w:rPr>
        <w:t xml:space="preserve">Медицинская, трудовая и социальная реабилитация при </w:t>
      </w:r>
      <w:r w:rsidR="00B52634">
        <w:rPr>
          <w:rFonts w:ascii="Times New Roman" w:hAnsi="Times New Roman"/>
          <w:bCs/>
          <w:sz w:val="24"/>
          <w:szCs w:val="24"/>
        </w:rPr>
        <w:t>пневмокониозах</w:t>
      </w:r>
      <w:r w:rsidR="00B52634">
        <w:rPr>
          <w:rFonts w:ascii="Times New Roman" w:hAnsi="Times New Roman"/>
          <w:sz w:val="24"/>
          <w:szCs w:val="24"/>
        </w:rPr>
        <w:t>.</w:t>
      </w:r>
    </w:p>
    <w:p w:rsidR="006058E8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="00FC029F"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="00FC029F"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обучения: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97557" w:rsidRPr="00A164C4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58608A" w:rsidRPr="00A164C4" w:rsidRDefault="0058608A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965607">
        <w:rPr>
          <w:rFonts w:ascii="Times New Roman" w:hAnsi="Times New Roman"/>
          <w:b/>
          <w:sz w:val="24"/>
          <w:szCs w:val="24"/>
        </w:rPr>
        <w:t xml:space="preserve">Профессиональный бронхит. ХОБЛ. </w:t>
      </w:r>
      <w:r w:rsidR="00B52634" w:rsidRPr="005A5B0F">
        <w:rPr>
          <w:rFonts w:ascii="Times New Roman" w:hAnsi="Times New Roman"/>
          <w:b/>
          <w:sz w:val="24"/>
          <w:szCs w:val="24"/>
        </w:rPr>
        <w:t xml:space="preserve">Профессиональная бронхиальная астма. </w:t>
      </w:r>
      <w:r w:rsidRPr="00965607">
        <w:rPr>
          <w:rFonts w:ascii="Times New Roman" w:hAnsi="Times New Roman"/>
          <w:b/>
          <w:sz w:val="24"/>
          <w:szCs w:val="24"/>
        </w:rPr>
        <w:t>Этиология. Патогенез. Современные методы диагностики и лечения.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органов дыхания – профессиональным бронхитом и хронической </w:t>
      </w:r>
      <w:proofErr w:type="spellStart"/>
      <w:r>
        <w:rPr>
          <w:sz w:val="24"/>
          <w:szCs w:val="24"/>
        </w:rPr>
        <w:t>обструктивной</w:t>
      </w:r>
      <w:proofErr w:type="spellEnd"/>
      <w:r>
        <w:rPr>
          <w:sz w:val="24"/>
          <w:szCs w:val="24"/>
        </w:rPr>
        <w:t xml:space="preserve"> болезнью легких</w:t>
      </w:r>
      <w:r w:rsidR="00B52634">
        <w:rPr>
          <w:sz w:val="24"/>
          <w:szCs w:val="24"/>
        </w:rPr>
        <w:t>, профессиональной бронхиальной астмой</w:t>
      </w:r>
      <w:r>
        <w:rPr>
          <w:sz w:val="24"/>
          <w:szCs w:val="24"/>
        </w:rPr>
        <w:t>: этиологией, патогенезом, современными методами диагностики и лечения.</w:t>
      </w:r>
    </w:p>
    <w:p w:rsidR="005C1CC4" w:rsidRPr="009220AE" w:rsidRDefault="005C1CC4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0AE">
        <w:rPr>
          <w:rFonts w:ascii="Times New Roman" w:hAnsi="Times New Roman"/>
          <w:bCs/>
          <w:sz w:val="24"/>
          <w:szCs w:val="24"/>
        </w:rPr>
        <w:t xml:space="preserve">Профессиональный бронхит. </w:t>
      </w:r>
      <w:r w:rsidRPr="009220AE">
        <w:rPr>
          <w:rFonts w:ascii="Times New Roman" w:hAnsi="Times New Roman"/>
          <w:sz w:val="24"/>
          <w:szCs w:val="24"/>
        </w:rPr>
        <w:t xml:space="preserve">Этиология и патогенез профессиональных бронхитов. Клиническая характеристика профессионального бронхита. Осложнения профессионального бронхита. Методы исследования при профессиональных бронхитах. Дифференциальная диагностика профессионального бронхита. Принципы лечения, профилактики, МЭ и реабилитации. Экспертиза связи заболевания с профессией. Хроническая </w:t>
      </w:r>
      <w:proofErr w:type="spellStart"/>
      <w:r w:rsidRPr="009220AE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9220AE">
        <w:rPr>
          <w:rFonts w:ascii="Times New Roman" w:hAnsi="Times New Roman"/>
          <w:sz w:val="24"/>
          <w:szCs w:val="24"/>
        </w:rPr>
        <w:t xml:space="preserve"> болезнь легких профессиональной этиологии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Патогенез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Клиническая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Функциональные, лабораторные и инструментальные методы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Осложнения и прогноз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4C361A" w:rsidRPr="00A164C4" w:rsidRDefault="004C361A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B70AF4" w:rsidRDefault="005C4E9B" w:rsidP="00B70A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B70AF4" w:rsidRPr="00B70AF4">
        <w:rPr>
          <w:rFonts w:ascii="Times New Roman" w:hAnsi="Times New Roman"/>
          <w:b/>
          <w:sz w:val="24"/>
          <w:szCs w:val="24"/>
        </w:rPr>
        <w:t xml:space="preserve">Профессиональные заболевания от воздействия физических факторов производственной среды. </w:t>
      </w:r>
      <w:proofErr w:type="gramStart"/>
      <w:r w:rsidR="00B70AF4" w:rsidRPr="00B70AF4">
        <w:rPr>
          <w:rFonts w:ascii="Times New Roman" w:hAnsi="Times New Roman"/>
          <w:b/>
          <w:sz w:val="24"/>
          <w:szCs w:val="24"/>
        </w:rPr>
        <w:t>Вибрационная</w:t>
      </w:r>
      <w:proofErr w:type="gramEnd"/>
      <w:r w:rsidR="00B70AF4" w:rsidRPr="00B70AF4">
        <w:rPr>
          <w:rFonts w:ascii="Times New Roman" w:hAnsi="Times New Roman"/>
          <w:b/>
          <w:sz w:val="24"/>
          <w:szCs w:val="24"/>
        </w:rPr>
        <w:t xml:space="preserve"> болезнью. </w:t>
      </w:r>
      <w:proofErr w:type="spellStart"/>
      <w:r w:rsidR="00B70AF4" w:rsidRPr="00B70AF4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="00B70AF4" w:rsidRPr="00B70AF4">
        <w:rPr>
          <w:rFonts w:ascii="Times New Roman" w:hAnsi="Times New Roman"/>
          <w:b/>
          <w:sz w:val="24"/>
          <w:szCs w:val="24"/>
        </w:rPr>
        <w:t xml:space="preserve"> тугоухость. Этиология. Патогенез. Современные методы диагностики и лечения.</w:t>
      </w: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от воздействия производственных факторов физической природы – </w:t>
      </w:r>
      <w:proofErr w:type="spellStart"/>
      <w:r>
        <w:rPr>
          <w:sz w:val="24"/>
          <w:szCs w:val="24"/>
        </w:rPr>
        <w:t>нейросенсорная</w:t>
      </w:r>
      <w:proofErr w:type="spellEnd"/>
      <w:r>
        <w:rPr>
          <w:sz w:val="24"/>
          <w:szCs w:val="24"/>
        </w:rPr>
        <w:t xml:space="preserve"> тугоухость, вибрационная болезнь от воздействия общей вибрации, вибрационная болезнь от воздействия локальной вибрации: этиологией, патогенезом, современными методами диагностики и лечения.</w:t>
      </w:r>
    </w:p>
    <w:p w:rsidR="005C4E9B" w:rsidRPr="00C4250C" w:rsidRDefault="005C4E9B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250C">
        <w:rPr>
          <w:rFonts w:ascii="Times New Roman" w:hAnsi="Times New Roman"/>
          <w:color w:val="000000"/>
          <w:sz w:val="24"/>
          <w:szCs w:val="24"/>
        </w:rPr>
        <w:t xml:space="preserve">Вибрационная болезнь. </w:t>
      </w:r>
      <w:r w:rsidRPr="00C4250C">
        <w:rPr>
          <w:rFonts w:ascii="Times New Roman" w:hAnsi="Times New Roman"/>
          <w:sz w:val="24"/>
          <w:szCs w:val="24"/>
        </w:rPr>
        <w:t>Патогенез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Дифференциальная 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Принципы лечения, профилактики, МЭ и реабилитации при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50C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Pr="00C4250C">
        <w:rPr>
          <w:rFonts w:ascii="Times New Roman" w:hAnsi="Times New Roman"/>
          <w:sz w:val="24"/>
          <w:szCs w:val="24"/>
        </w:rPr>
        <w:t xml:space="preserve"> тугоухость. Патогенез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и классификация профессиональной тугоухости</w:t>
      </w:r>
    </w:p>
    <w:p w:rsidR="005C4E9B" w:rsidRPr="00C4250C" w:rsidRDefault="005C4E9B" w:rsidP="0091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0C">
        <w:rPr>
          <w:rFonts w:ascii="Times New Roman" w:hAnsi="Times New Roman"/>
          <w:sz w:val="24"/>
          <w:szCs w:val="24"/>
        </w:rPr>
        <w:t>Диагностика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Неспецифическое действие шума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  <w:r w:rsidRPr="00A164C4">
        <w:rPr>
          <w:rFonts w:ascii="Times New Roman" w:hAnsi="Times New Roman"/>
          <w:color w:val="000000"/>
          <w:sz w:val="24"/>
          <w:szCs w:val="24"/>
        </w:rPr>
        <w:t>.</w:t>
      </w:r>
    </w:p>
    <w:p w:rsidR="00BC75C9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proofErr w:type="gramStart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BC75C9" w:rsidRPr="00A164C4" w:rsidRDefault="00BC75C9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BC75C9" w:rsidRPr="00A164C4" w:rsidRDefault="00BC75C9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D36FD5" w:rsidRDefault="005C4E9B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E849EB">
        <w:rPr>
          <w:rFonts w:ascii="Times New Roman" w:hAnsi="Times New Roman"/>
          <w:b/>
          <w:sz w:val="24"/>
          <w:szCs w:val="24"/>
        </w:rPr>
        <w:t>Профессиональные интоксикации. Этиология. Патогенез. Современные методы диагностики и лечения</w:t>
      </w:r>
      <w:r w:rsidRPr="005A5B0F">
        <w:rPr>
          <w:rFonts w:ascii="Times New Roman" w:hAnsi="Times New Roman"/>
          <w:b/>
          <w:sz w:val="24"/>
          <w:szCs w:val="24"/>
        </w:rPr>
        <w:t>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особенностями профессиональных интоксикаций, профессиональными интоксикациями с преимущественным поражением крови, </w:t>
      </w:r>
      <w:proofErr w:type="spellStart"/>
      <w:r>
        <w:rPr>
          <w:sz w:val="24"/>
          <w:szCs w:val="24"/>
        </w:rPr>
        <w:t>гепатобилиарной</w:t>
      </w:r>
      <w:proofErr w:type="spellEnd"/>
      <w:r>
        <w:rPr>
          <w:sz w:val="24"/>
          <w:szCs w:val="24"/>
        </w:rPr>
        <w:t xml:space="preserve"> системы, поражением почек и мочевыводящих путей: этиологией, патогенезом, современными методами диагностики и лечения.</w:t>
      </w:r>
    </w:p>
    <w:p w:rsidR="005C4E9B" w:rsidRPr="00E849EB" w:rsidRDefault="005C4E9B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9EB">
        <w:rPr>
          <w:rFonts w:ascii="Times New Roman" w:hAnsi="Times New Roman"/>
          <w:color w:val="000000"/>
          <w:sz w:val="24"/>
          <w:szCs w:val="24"/>
        </w:rPr>
        <w:t xml:space="preserve">Промышленные яды, классификация. </w:t>
      </w:r>
      <w:r w:rsidRPr="00E849EB">
        <w:rPr>
          <w:rFonts w:ascii="Times New Roman" w:hAnsi="Times New Roman"/>
          <w:sz w:val="24"/>
          <w:szCs w:val="24"/>
        </w:rPr>
        <w:t xml:space="preserve">Факторы, определяющие действие промышленных ядов. Метаболизм ядов в организме. Комбинированное, сочетанное и комплексное действие ядов и других вредных производственных факторов. Профессиональные интоксикации с преимущественным поражением крови. Общие принципы оценки результатов гематологического обследования профессиональных контингентов. Патогенетическая группировка профессиональных заболеваний крови. Токсическое поражение костномозгового кроветворения. Нарушение синтеза </w:t>
      </w:r>
      <w:proofErr w:type="spellStart"/>
      <w:r w:rsidRPr="00E849EB">
        <w:rPr>
          <w:rFonts w:ascii="Times New Roman" w:hAnsi="Times New Roman"/>
          <w:sz w:val="24"/>
          <w:szCs w:val="24"/>
        </w:rPr>
        <w:t>порфиринов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и гемма. Гемолитическое действие. Изменение пигмента крови. Основные клинические формы профессиональных поражений крови. Интоксикация ароматическими углеводородами. Токсикологическая характеристика. Клиника острых интоксикаций. Клиника хронических интоксикаций. Диагностика, лечение, профилактика, МЭ и реабилитация при острых и хронических интоксикациях ароматическими углеводородами. Интоксикация свинцом и его неорганическими соединениями. Производственные условия, связанные с возможностью отравления свинцом и его неорганическими соединениями. Клиника интоксикации свинцом. Классификация интоксикации свинцом. Диагностика, лечение, профилактика, МЭ и реабилитация при интоксикации свинцом. Интоксикации ядами гемолитического действия (мышьяковистый водород, фенилгидразин и другие). Производственные условия, связанные с возможностью отравления ядами гемолитического действия. Клиника интоксикации ядами гемолитического действия. Диагностика, лечение, профилактика, МЭ и реабилитация при интоксикации ядами гемолитического действия. Интоксикации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Производственные условия, связанные с возможностью отравления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Клиника острых интоксикаций. Клиника хронических интоксикаций. Диагностика, лечение, профилактика, МЭ и реабилитация при интоксикациях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Pr="00E849EB">
        <w:rPr>
          <w:rFonts w:ascii="Times New Roman" w:hAnsi="Times New Roman"/>
          <w:sz w:val="24"/>
          <w:szCs w:val="24"/>
        </w:rPr>
        <w:t>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Интоксикация оксидом углерода. Производственные условия, связанные с возможностью отравления оксидом углерода. Клиника острой интоксикации. Отдаленные последствия интоксикации оксидом углерода. Диагностика, лечение, профилактика, МЭ и реабилитация при интоксикации оксидом углерода. Профессиональные заболевания с преимущественным поражением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характеристика. Производственные условия, связанные с возможностью интоксикации. Патогенез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Острые токсико-химические поражения. Хронические токсико-химические поражения. Диагностика и дифференциальная диагностика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Лечение, профилактика, МЭ и реабилитация при профессиональных заболеваниях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Токсические нефропатии и заболевания мочевыводящих путей химической этиологии.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нефротропные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 (четыреххлористый углерод, </w:t>
      </w:r>
      <w:proofErr w:type="spellStart"/>
      <w:r w:rsidRPr="00E849EB">
        <w:rPr>
          <w:rFonts w:ascii="Times New Roman" w:hAnsi="Times New Roman"/>
          <w:sz w:val="24"/>
          <w:szCs w:val="24"/>
        </w:rPr>
        <w:t>бензидин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9EB">
        <w:rPr>
          <w:rFonts w:ascii="Times New Roman" w:hAnsi="Times New Roman"/>
          <w:sz w:val="24"/>
          <w:szCs w:val="24"/>
        </w:rPr>
        <w:t>дианизидин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>, бет</w:t>
      </w:r>
      <w:proofErr w:type="gramStart"/>
      <w:r w:rsidRPr="00E849EB">
        <w:rPr>
          <w:rFonts w:ascii="Times New Roman" w:hAnsi="Times New Roman"/>
          <w:sz w:val="24"/>
          <w:szCs w:val="24"/>
        </w:rPr>
        <w:t>а-</w:t>
      </w:r>
      <w:proofErr w:type="gramEnd"/>
      <w:r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9EB">
        <w:rPr>
          <w:rFonts w:ascii="Times New Roman" w:hAnsi="Times New Roman"/>
          <w:sz w:val="24"/>
          <w:szCs w:val="24"/>
        </w:rPr>
        <w:t>альфа-нафтиламин</w:t>
      </w:r>
      <w:proofErr w:type="spellEnd"/>
      <w:r w:rsidRPr="00E849EB">
        <w:rPr>
          <w:rFonts w:ascii="Times New Roman" w:hAnsi="Times New Roman"/>
          <w:sz w:val="24"/>
          <w:szCs w:val="24"/>
        </w:rPr>
        <w:t>, кадмий). Производственные условия, связанные с возможностью интоксикации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Клинические формы токсических поражений почек и мочевыводящих путей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Диагностика, лечение, профилактика, МЭ и реабилитация при профессиональных заболеваниях почек и мочевыводящих путей</w:t>
      </w:r>
      <w:r>
        <w:rPr>
          <w:rFonts w:ascii="Times New Roman" w:hAnsi="Times New Roman"/>
          <w:sz w:val="24"/>
          <w:szCs w:val="24"/>
        </w:rPr>
        <w:t>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</w:p>
    <w:p w:rsidR="006B681C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B681C" w:rsidRPr="00A164C4" w:rsidRDefault="006B681C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обучения: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(презентация).</w:t>
      </w:r>
    </w:p>
    <w:p w:rsidR="006B681C" w:rsidRPr="00A164C4" w:rsidRDefault="006B681C" w:rsidP="00912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A164C4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A77" w:rsidRDefault="00D33A7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D13" w:rsidRDefault="006B0D13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0AF4" w:rsidRPr="00A164C4" w:rsidRDefault="00B70AF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26B2" w:rsidRPr="00A164C4" w:rsidRDefault="003A26B2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FB4B2A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Pr="00FB4B2A">
        <w:rPr>
          <w:rFonts w:ascii="Times New Roman" w:hAnsi="Times New Roman"/>
          <w:b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дисциплина.</w:t>
      </w:r>
      <w:r w:rsidRPr="00FB4B2A">
        <w:rPr>
          <w:rFonts w:ascii="Times New Roman" w:hAnsi="Times New Roman"/>
          <w:b/>
          <w:lang w:eastAsia="ar-SA"/>
        </w:rPr>
        <w:t xml:space="preserve"> </w:t>
      </w:r>
    </w:p>
    <w:p w:rsidR="00FB4B2A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методикой установления профессионального характера заболевания и проведения врачебно-профессиональной экспертизы.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ведение в клинику профессиональ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болезней. Понятие о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патологии как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клинической дисциплине. Группи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ровка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заболеваний по этиологии и 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имущественному поражению отдель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рганов и систем. Медицинские уч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реждения, занимающиеся вопросами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патологии.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302н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МЗ России.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 для установления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ессионального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характера заболевания. Критерии для установления связи заболевания с выполняемой работой.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Задачи и принци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пы вр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ачебно-трудовой экспертизы, тру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довой и медицинской реабилитации в клинике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болезней и их социальное значение.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547CCF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 расследования профессиональных заболеваний и анализом заболеваемости по данным медицинских осмотров на примере решения ситуационных задач.</w:t>
            </w:r>
          </w:p>
          <w:p w:rsidR="00524405" w:rsidRPr="003E4832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547CCF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</w:p>
          <w:p w:rsidR="009550B1" w:rsidRPr="00547CCF" w:rsidRDefault="00547CCF" w:rsidP="009125C4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 № 417н от 27.04.2012 </w:t>
            </w:r>
            <w:bookmarkStart w:id="1" w:name="100004"/>
            <w:bookmarkEnd w:id="1"/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профессиональных заболеваний».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C3429A" w:rsidRPr="00C3429A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: проверка тетрадей по практическим занятиям, проверка правильности решения ситуационных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64C7" w:rsidRPr="008A59C0" w:rsidRDefault="00C3429A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A2535" w:rsidRPr="00A164C4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 w:rsidR="003C12D4"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BA2535" w:rsidRDefault="00BA2535" w:rsidP="009125C4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64C4">
        <w:rPr>
          <w:rFonts w:ascii="Times New Roman" w:hAnsi="Times New Roman"/>
          <w:color w:val="000000"/>
          <w:sz w:val="24"/>
          <w:szCs w:val="24"/>
        </w:rPr>
        <w:lastRenderedPageBreak/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C12D4" w:rsidRPr="00A164C4" w:rsidRDefault="003C12D4" w:rsidP="003C12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E15" w:rsidRPr="00677535" w:rsidRDefault="00BA2535" w:rsidP="0091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E75E1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75E15" w:rsidRPr="0024494A">
        <w:rPr>
          <w:rFonts w:ascii="Times New Roman" w:hAnsi="Times New Roman"/>
          <w:sz w:val="24"/>
          <w:szCs w:val="24"/>
        </w:rPr>
        <w:t xml:space="preserve"> </w:t>
      </w:r>
      <w:r w:rsidR="00746241">
        <w:rPr>
          <w:rFonts w:ascii="Times New Roman" w:hAnsi="Times New Roman"/>
          <w:b/>
          <w:sz w:val="24"/>
          <w:szCs w:val="24"/>
        </w:rPr>
        <w:t xml:space="preserve">Профессиональные заболевания </w:t>
      </w:r>
      <w:r w:rsidR="00E75E15" w:rsidRPr="00677535">
        <w:rPr>
          <w:rFonts w:ascii="Times New Roman" w:hAnsi="Times New Roman"/>
          <w:b/>
          <w:sz w:val="24"/>
          <w:szCs w:val="24"/>
        </w:rPr>
        <w:t>лёгких. Пневмокониозы.</w:t>
      </w:r>
    </w:p>
    <w:p w:rsidR="00BA2535" w:rsidRPr="00A164C4" w:rsidRDefault="00E72C24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75E15" w:rsidRDefault="00E75E15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классификацией,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BA2535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E72C24" w:rsidRPr="00B36B45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ассификация профессиональных за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болеваний лёгких. Понятие о пневмокониозах. Классификация пневмокониозов (1976 г., 1995 г.).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Особенности разных групп пневмокониозов.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Силикоз, как пневмокониоз, занимающий </w:t>
            </w:r>
            <w:proofErr w:type="gramStart"/>
            <w:r w:rsidRPr="00677535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proofErr w:type="gramEnd"/>
            <w:r w:rsidRPr="00677535">
              <w:rPr>
                <w:rFonts w:ascii="Times New Roman" w:hAnsi="Times New Roman"/>
                <w:sz w:val="24"/>
                <w:szCs w:val="24"/>
              </w:rPr>
              <w:t xml:space="preserve"> место среди пневмокониозов.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клиника, диагностика, течение и осложнения, лечение, профилактика.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3. Силикотуберкулез. Краткие сведения о других пневмокониозах (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асбестоз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пневмокониоз сварщика, антракоз и т.д.).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4.</w:t>
            </w:r>
            <w:r w:rsidRPr="00677535">
              <w:rPr>
                <w:sz w:val="24"/>
                <w:szCs w:val="24"/>
              </w:rPr>
              <w:t xml:space="preserve">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Бериллиоз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. Клиника. Диагностика. Лечение. Профилактика.</w:t>
            </w:r>
          </w:p>
          <w:p w:rsidR="00437BC7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D86CF3" w:rsidRPr="00D86CF3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D86CF3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6CF3" w:rsidRPr="00CB5351" w:rsidRDefault="00D86CF3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E72C24" w:rsidRPr="00D43170" w:rsidRDefault="00D86CF3" w:rsidP="009125C4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526504" w:rsidRPr="00526504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оформления </w:t>
            </w:r>
            <w:proofErr w:type="gramStart"/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72C24" w:rsidRPr="008A59C0" w:rsidRDefault="00E72C2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526504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24F0B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22CA1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="00B24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F0B" w:rsidRPr="0024494A">
        <w:rPr>
          <w:rFonts w:ascii="Times New Roman" w:hAnsi="Times New Roman"/>
          <w:sz w:val="24"/>
          <w:szCs w:val="24"/>
        </w:rPr>
        <w:t xml:space="preserve"> </w:t>
      </w:r>
      <w:r w:rsidR="00B24F0B" w:rsidRPr="00D43FF9">
        <w:rPr>
          <w:rFonts w:ascii="Times New Roman" w:hAnsi="Times New Roman"/>
          <w:b/>
          <w:sz w:val="24"/>
          <w:szCs w:val="24"/>
        </w:rPr>
        <w:t>Профессиональный бронх</w:t>
      </w:r>
      <w:r w:rsidR="00B24F0B">
        <w:rPr>
          <w:rFonts w:ascii="Times New Roman" w:hAnsi="Times New Roman"/>
          <w:b/>
          <w:sz w:val="24"/>
          <w:szCs w:val="24"/>
        </w:rPr>
        <w:t xml:space="preserve">ит. ХОБЛ, профессиональная </w:t>
      </w:r>
      <w:r w:rsidR="00B24F0B" w:rsidRPr="00D43FF9">
        <w:rPr>
          <w:rFonts w:ascii="Times New Roman" w:hAnsi="Times New Roman"/>
          <w:b/>
          <w:sz w:val="24"/>
          <w:szCs w:val="24"/>
        </w:rPr>
        <w:t>бронхиальная астма.</w:t>
      </w:r>
    </w:p>
    <w:p w:rsidR="00CF7971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CF79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7971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B24F0B" w:rsidRDefault="00B24F0B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807AAA" w:rsidRDefault="00807AA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14286" w:rsidRPr="00E72C2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14286" w:rsidRPr="00B36B45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24F0B" w:rsidRPr="00D43FF9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фессиональных бронхитов.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Клиника.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агностика. Значение бронхоскопии в ус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тановлении профессионального генеза заболевания. </w:t>
            </w:r>
          </w:p>
          <w:p w:rsidR="00B24F0B" w:rsidRPr="0024494A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FF9">
              <w:rPr>
                <w:rFonts w:ascii="Times New Roman" w:hAnsi="Times New Roman"/>
                <w:sz w:val="24"/>
                <w:szCs w:val="24"/>
              </w:rPr>
              <w:t xml:space="preserve">2. Особенности диагностики, профессиональной бронхиальной астмы. Тесты элиминации,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реэкспозиции</w:t>
            </w:r>
            <w:proofErr w:type="spellEnd"/>
            <w:r w:rsidRPr="00D43FF9">
              <w:rPr>
                <w:rFonts w:ascii="Times New Roman" w:hAnsi="Times New Roman"/>
                <w:sz w:val="24"/>
                <w:szCs w:val="24"/>
              </w:rPr>
              <w:t>, экс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позиции. Роль ингаляционных проб в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агностике профессиональной бронхиаль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ной астмы. Лечение. Профилактика. Прогноз. Врачебно-трудовая экспертиза.</w:t>
            </w:r>
          </w:p>
          <w:p w:rsidR="00014286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B24F0B" w:rsidRPr="00B24F0B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B24F0B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F0B" w:rsidRPr="00CB5351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014286" w:rsidRPr="00D43170" w:rsidRDefault="00B24F0B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14286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24F0B" w:rsidRPr="00B24F0B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оформления </w:t>
            </w:r>
            <w:proofErr w:type="gramStart"/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286" w:rsidRPr="008A59C0" w:rsidRDefault="0001428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EC05E3" w:rsidRPr="00A164C4" w:rsidRDefault="00EC05E3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24F0B" w:rsidRPr="00D20F3E" w:rsidRDefault="00B24F0B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14286" w:rsidRPr="00CF7971" w:rsidRDefault="0001428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338F" w:rsidRPr="00560AC9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№4</w:t>
      </w:r>
      <w:r w:rsidR="00EE33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E338F" w:rsidRPr="0024494A">
        <w:rPr>
          <w:rFonts w:ascii="Times New Roman" w:hAnsi="Times New Roman"/>
          <w:sz w:val="24"/>
          <w:szCs w:val="24"/>
        </w:rPr>
        <w:t xml:space="preserve"> </w:t>
      </w:r>
      <w:r w:rsidR="00EE338F" w:rsidRPr="00560AC9">
        <w:rPr>
          <w:rFonts w:ascii="Times New Roman" w:hAnsi="Times New Roman"/>
          <w:b/>
          <w:sz w:val="24"/>
          <w:szCs w:val="24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="00EE338F" w:rsidRPr="00560AC9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="00EE338F" w:rsidRPr="00560AC9">
        <w:rPr>
          <w:rFonts w:ascii="Times New Roman" w:hAnsi="Times New Roman"/>
          <w:b/>
          <w:sz w:val="24"/>
          <w:szCs w:val="24"/>
        </w:rPr>
        <w:t xml:space="preserve"> тугоухость.</w:t>
      </w:r>
    </w:p>
    <w:p w:rsidR="006A23C6" w:rsidRPr="00A164C4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E5554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E338F" w:rsidRDefault="00EE338F" w:rsidP="009125C4">
      <w:pPr>
        <w:spacing w:after="0" w:line="240" w:lineRule="auto"/>
        <w:ind w:firstLine="709"/>
        <w:jc w:val="both"/>
        <w:rPr>
          <w:bCs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заболеваний, связанных с воздействием производственных физических факторов (вибрационная болезнь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тугоухость).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1.Оп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ческая картина при заболеваниях, связанных с воздействием общей и локальной вибрации.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2.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3.Определение. </w:t>
            </w:r>
            <w:proofErr w:type="spellStart"/>
            <w:r w:rsidRPr="00560AC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560AC9"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ческая картина при заболеваниях, связанных с воздействием шума.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4.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5E3247" w:rsidRPr="005E3247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5E3247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3247" w:rsidRPr="00CB5351" w:rsidRDefault="005E3247" w:rsidP="009125C4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195A17" w:rsidRPr="00DB044A" w:rsidRDefault="005E3247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матери</w:t>
      </w:r>
      <w:r w:rsidR="003C12D4">
        <w:rPr>
          <w:rFonts w:ascii="Times New Roman" w:hAnsi="Times New Roman"/>
          <w:color w:val="000000"/>
          <w:sz w:val="24"/>
          <w:szCs w:val="24"/>
        </w:rPr>
        <w:t>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95A17" w:rsidRPr="00A164C4" w:rsidRDefault="00195A1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FF8" w:rsidRPr="00560AC9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75040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F23A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20F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20FF8" w:rsidRPr="00560AC9">
        <w:rPr>
          <w:rFonts w:ascii="Times New Roman" w:hAnsi="Times New Roman"/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углерода.</w:t>
      </w:r>
    </w:p>
    <w:p w:rsidR="006E7A10" w:rsidRPr="00A164C4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D35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A20FF8" w:rsidRDefault="00A20FF8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профилактики профессиональных заболеваний с преимущественным поражением системы крови.</w:t>
      </w:r>
    </w:p>
    <w:p w:rsidR="006E7A10" w:rsidRDefault="006E7A10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66694" w:rsidRPr="00E72C2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Общие и специфические изменения крови при действии промышленных ядов. Классификация профессиональных заболеваний крови.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Пути поступления и выведения яда из организма.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>Хроническая интоксикация свинцом. Клиника, стадии заболевания, диагно</w:t>
            </w:r>
            <w:r w:rsidRPr="00BF00F2">
              <w:rPr>
                <w:rFonts w:ascii="Times New Roman" w:hAnsi="Times New Roman"/>
                <w:sz w:val="24"/>
                <w:szCs w:val="24"/>
              </w:rPr>
              <w:softHyphen/>
              <w:t>стика, экспертиза трудоспособности. Лечение.</w:t>
            </w:r>
          </w:p>
          <w:p w:rsid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 xml:space="preserve">. Хроническая интоксикация бензолом. Клиника, классификация, </w:t>
            </w:r>
            <w:r w:rsidRPr="00BF00F2">
              <w:rPr>
                <w:rFonts w:ascii="Times New Roman" w:hAnsi="Times New Roman"/>
                <w:sz w:val="24"/>
                <w:szCs w:val="24"/>
              </w:rPr>
              <w:lastRenderedPageBreak/>
              <w:t>варианты течения, ранняя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ностика, лечение, профилактика.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Острая интоксикация оксидом углерода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 xml:space="preserve">. Клиника, классификация, варианты течения, ранняя диагностика, лечение, профилактика. 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.  Особенности ди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агностики профессиональных заболева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ний системы крови. Лечение. Профилак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 xml:space="preserve">тика. Врачебно-трудовая экспертиза. </w:t>
            </w:r>
          </w:p>
          <w:p w:rsidR="00566694" w:rsidRPr="00DB044A" w:rsidRDefault="00593FEC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6694"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BE41B2" w:rsidRP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F3F">
              <w:rPr>
                <w:rFonts w:ascii="Times New Roman" w:eastAsia="Calibri" w:hAnsi="Times New Roman"/>
                <w:sz w:val="24"/>
                <w:szCs w:val="24"/>
              </w:rPr>
              <w:t>у конкретных пациентов, по историям болезни, амбулаторным картам.</w:t>
            </w:r>
          </w:p>
          <w:p w:rsid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41B2" w:rsidRPr="00CB5351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566694" w:rsidRPr="00DB044A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566694" w:rsidRPr="00DB044A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E41B2" w:rsidRPr="00BE41B2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694" w:rsidRPr="00DB044A" w:rsidRDefault="00566694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B5619" w:rsidRPr="00A164C4" w:rsidRDefault="00AB5619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E41B2" w:rsidRPr="00D20F3E" w:rsidRDefault="00BE41B2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B5619" w:rsidRPr="00A164C4" w:rsidRDefault="00BE41B2" w:rsidP="009125C4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8F23A0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 №6</w:t>
      </w:r>
      <w:r w:rsidR="00D50164" w:rsidRPr="0084553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Профессиональные </w:t>
      </w:r>
      <w:proofErr w:type="spellStart"/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нейроинтоксикации</w:t>
      </w:r>
      <w:proofErr w:type="spellEnd"/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. О</w:t>
      </w:r>
      <w:r w:rsidR="00AB3CB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>трые и хронические интоксикации.</w:t>
      </w:r>
      <w:r w:rsidR="006B0D13">
        <w:rPr>
          <w:rFonts w:ascii="Times New Roman" w:hAnsi="Times New Roman"/>
          <w:b/>
          <w:color w:val="000000"/>
          <w:sz w:val="24"/>
          <w:szCs w:val="24"/>
        </w:rPr>
        <w:t xml:space="preserve"> Интоксикация ртутью, марганцем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C23339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02D" w:rsidRPr="0084553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DB33B0" w:rsidRPr="00845536">
        <w:rPr>
          <w:rFonts w:ascii="Times New Roman" w:hAnsi="Times New Roman"/>
          <w:color w:val="000000"/>
          <w:sz w:val="24"/>
          <w:szCs w:val="24"/>
        </w:rPr>
        <w:t>.</w:t>
      </w:r>
    </w:p>
    <w:p w:rsid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536" w:rsidRPr="00845536"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845536" w:rsidRPr="00845536"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профилактики профессиональных заболеваний с преимущественным поражением нервной системы.</w:t>
      </w:r>
    </w:p>
    <w:p w:rsidR="00845536" w:rsidRDefault="00845536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45536" w:rsidRDefault="00845536" w:rsidP="009125C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поступления и выведения ядов из организма.</w:t>
            </w:r>
          </w:p>
          <w:p w:rsidR="00845536" w:rsidRPr="00845536" w:rsidRDefault="00845536" w:rsidP="009125C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Этиология, патогенез. Клиника. Диагностика по степени тяжести. Лечение. Профилактика. Врачебно-профессиональная экспертиза.</w:t>
            </w:r>
          </w:p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Отработка практических умений и навыков.</w:t>
            </w:r>
          </w:p>
          <w:p w:rsidR="00845536" w:rsidRPr="00DB044A" w:rsidRDefault="00845536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81C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="000068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F23A0" w:rsidRPr="006B27DD" w:rsidRDefault="008F23A0" w:rsidP="009125C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 №7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. Ин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токсикация пестицидами (фосфоро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3B1991" w:rsidRPr="00845536">
        <w:rPr>
          <w:rFonts w:ascii="Times New Roman" w:hAnsi="Times New Roman"/>
          <w:b/>
          <w:color w:val="000000"/>
          <w:sz w:val="24"/>
          <w:szCs w:val="24"/>
        </w:rPr>
        <w:t>аническими, ртутьорганическими, хлорорганическими соединениями).</w:t>
      </w: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F23A0" w:rsidRPr="00845536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681C" w:rsidRPr="00845536"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00681C" w:rsidRPr="00845536"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 </w:t>
      </w:r>
      <w:r w:rsidR="0000681C">
        <w:rPr>
          <w:rFonts w:ascii="Times New Roman" w:hAnsi="Times New Roman"/>
          <w:sz w:val="24"/>
          <w:szCs w:val="24"/>
          <w:lang w:eastAsia="ar-SA"/>
        </w:rPr>
        <w:t>от воздействия пестицидов.</w:t>
      </w:r>
    </w:p>
    <w:p w:rsidR="00845536" w:rsidRDefault="00845536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45536" w:rsidRPr="00DB044A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45536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понятия «пестициды», классификация.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Пути поступления и выведения из организма.</w:t>
            </w:r>
          </w:p>
          <w:p w:rsidR="00845536" w:rsidRPr="0000681C" w:rsidRDefault="00845536" w:rsidP="009125C4">
            <w:pPr>
              <w:pStyle w:val="a3"/>
              <w:numPr>
                <w:ilvl w:val="0"/>
                <w:numId w:val="43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и хронические интоксикации. Клиника. Диагностика. Неотложная помощь. Лечение. </w:t>
            </w:r>
            <w:r w:rsidR="0000681C" w:rsidRPr="0000681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Профилактика.</w:t>
            </w:r>
          </w:p>
          <w:p w:rsidR="00845536" w:rsidRPr="00DB044A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81531" w:rsidRDefault="00A81531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нормативными документами: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ГН 1.2.2701-10 «Гигиенические нормативы содержания пестицидов в объектах окружающей среды» 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A81531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A81531">
              <w:rPr>
                <w:rFonts w:ascii="Times New Roman" w:hAnsi="Times New Roman"/>
                <w:sz w:val="24"/>
                <w:szCs w:val="24"/>
              </w:rPr>
      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</w:t>
            </w:r>
          </w:p>
          <w:p w:rsidR="00A81531" w:rsidRPr="00A81531" w:rsidRDefault="00A81531" w:rsidP="00A81531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 xml:space="preserve">СанПиН 1.2.1330-03 «Гигиенические требования к производству пестицидов и </w:t>
            </w:r>
            <w:proofErr w:type="spellStart"/>
            <w:r w:rsidRPr="00A81531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A815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5536" w:rsidRPr="00DB044A" w:rsidRDefault="00845536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681C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="0000681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45536" w:rsidRPr="00A164C4" w:rsidTr="00A76B6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9125C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D20F3E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Default="00845536" w:rsidP="009125C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</w:t>
      </w:r>
      <w:proofErr w:type="gramEnd"/>
      <w:r w:rsidR="003C12D4">
        <w:rPr>
          <w:rFonts w:ascii="Times New Roman" w:hAnsi="Times New Roman"/>
          <w:color w:val="000000"/>
          <w:sz w:val="24"/>
          <w:szCs w:val="24"/>
        </w:rPr>
        <w:t xml:space="preserve">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45536" w:rsidRPr="00D20F3E" w:rsidRDefault="00845536" w:rsidP="009125C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3A0" w:rsidRPr="0000681C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>Тема №</w:t>
      </w:r>
      <w:r w:rsidR="003B1991" w:rsidRPr="0000681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6B0D13" w:rsidRPr="00845536">
        <w:rPr>
          <w:rFonts w:ascii="Times New Roman" w:hAnsi="Times New Roman"/>
          <w:b/>
          <w:color w:val="000000"/>
          <w:sz w:val="24"/>
          <w:szCs w:val="24"/>
        </w:rPr>
        <w:t>Хроническая интоксикация сернистыми соединениями</w:t>
      </w:r>
      <w:r w:rsidR="003B1991" w:rsidRPr="0000681C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8F23A0" w:rsidRPr="0000681C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00681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B0D13" w:rsidRDefault="006B0D13" w:rsidP="006B0D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5536"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Pr="00845536"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</w:t>
      </w:r>
      <w:r>
        <w:rPr>
          <w:rFonts w:ascii="Times New Roman" w:hAnsi="Times New Roman"/>
          <w:sz w:val="24"/>
          <w:szCs w:val="24"/>
          <w:lang w:eastAsia="ar-SA"/>
        </w:rPr>
        <w:t>и интоксикаций сернистыми соединениями</w:t>
      </w:r>
      <w:r w:rsidRPr="00845536">
        <w:rPr>
          <w:rFonts w:ascii="Times New Roman" w:hAnsi="Times New Roman"/>
          <w:sz w:val="24"/>
          <w:szCs w:val="24"/>
          <w:lang w:eastAsia="ar-SA"/>
        </w:rPr>
        <w:t>.</w:t>
      </w:r>
    </w:p>
    <w:p w:rsidR="006B0D13" w:rsidRDefault="006B0D13" w:rsidP="006B0D13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"/>
        <w:gridCol w:w="8516"/>
      </w:tblGrid>
      <w:tr w:rsidR="006B0D13" w:rsidRPr="00A164C4" w:rsidTr="00F3059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6B0D13" w:rsidRPr="00A164C4" w:rsidTr="00F3059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6B0D13" w:rsidRPr="00A164C4" w:rsidRDefault="006B0D13" w:rsidP="00F3059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6B0D13" w:rsidRPr="00E72C24" w:rsidRDefault="006B0D13" w:rsidP="00F3059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B0D13" w:rsidRPr="00A164C4" w:rsidTr="00F3059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B0D13" w:rsidRPr="00A164C4" w:rsidRDefault="006B0D13" w:rsidP="00F3059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B0D13" w:rsidRPr="00A164C4" w:rsidTr="00F3059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DB044A" w:rsidRDefault="006B0D13" w:rsidP="00F305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6B0D13" w:rsidRPr="00DB044A" w:rsidRDefault="006B0D13" w:rsidP="00F3059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6B0D13" w:rsidRDefault="006B0D13" w:rsidP="00F30592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B0D13" w:rsidRPr="006B0D13" w:rsidRDefault="006B0D13" w:rsidP="006B0D13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1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источники сероводорода.</w:t>
            </w:r>
          </w:p>
          <w:p w:rsidR="006B0D13" w:rsidRPr="006B0D13" w:rsidRDefault="006B0D13" w:rsidP="006B0D13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Производства, в которых возможно отравление сероводородом.</w:t>
            </w:r>
          </w:p>
          <w:p w:rsidR="006B0D13" w:rsidRPr="006B0D13" w:rsidRDefault="006B0D13" w:rsidP="006B0D13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13">
              <w:rPr>
                <w:rFonts w:ascii="Times New Roman" w:hAnsi="Times New Roman"/>
                <w:color w:val="000000"/>
                <w:sz w:val="24"/>
                <w:szCs w:val="24"/>
              </w:rPr>
              <w:t>Состав Оренбургского природного газа.</w:t>
            </w:r>
          </w:p>
          <w:p w:rsidR="006B0D13" w:rsidRPr="006B0D13" w:rsidRDefault="006B0D13" w:rsidP="006B0D13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13">
              <w:rPr>
                <w:rFonts w:ascii="Times New Roman" w:hAnsi="Times New Roman"/>
                <w:color w:val="000000"/>
                <w:sz w:val="24"/>
                <w:szCs w:val="24"/>
              </w:rPr>
              <w:t>Острое отравление сероводородом. Классификация по степени тяжести. Диагностика. Неотложная помощь. Лечение. Прогноз. Профилактика. Экспертиза трудоспособности.</w:t>
            </w:r>
          </w:p>
          <w:p w:rsidR="006B0D13" w:rsidRPr="00DB044A" w:rsidRDefault="006B0D13" w:rsidP="00F305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6B0D13" w:rsidRPr="00DB044A" w:rsidRDefault="006B0D13" w:rsidP="00F3059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6B0D13" w:rsidRPr="00A164C4" w:rsidTr="00F30592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A164C4" w:rsidRDefault="006B0D13" w:rsidP="00F30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D13" w:rsidRPr="00DB044A" w:rsidRDefault="006B0D13" w:rsidP="00F305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6B0D13" w:rsidRPr="00DB044A" w:rsidRDefault="006B0D13" w:rsidP="00F305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B0D13" w:rsidRPr="00BE41B2" w:rsidRDefault="006B0D13" w:rsidP="00F305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0D13" w:rsidRPr="00DB044A" w:rsidRDefault="006B0D13" w:rsidP="00F3059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6B0D13" w:rsidRPr="00A164C4" w:rsidRDefault="006B0D13" w:rsidP="006B0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B0D13" w:rsidRPr="00D20F3E" w:rsidRDefault="003C12D4" w:rsidP="006B0D1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 w:rsidR="006B0D13" w:rsidRPr="00D20F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0D13"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="006B0D13"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6B0D13" w:rsidRPr="00D20F3E" w:rsidRDefault="006B0D13" w:rsidP="006B0D1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F23A0" w:rsidRDefault="008F23A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820" w:rsidRPr="009125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011A"/>
    <w:multiLevelType w:val="hybridMultilevel"/>
    <w:tmpl w:val="F6F6F5E6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09554270"/>
    <w:multiLevelType w:val="hybridMultilevel"/>
    <w:tmpl w:val="1592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D4F9B"/>
    <w:multiLevelType w:val="hybridMultilevel"/>
    <w:tmpl w:val="742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A7A7FB3"/>
    <w:multiLevelType w:val="hybridMultilevel"/>
    <w:tmpl w:val="AC6C370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D634C"/>
    <w:multiLevelType w:val="hybridMultilevel"/>
    <w:tmpl w:val="BC30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F6686"/>
    <w:multiLevelType w:val="hybridMultilevel"/>
    <w:tmpl w:val="CBCE1A9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B05BA"/>
    <w:multiLevelType w:val="hybridMultilevel"/>
    <w:tmpl w:val="3F144E52"/>
    <w:lvl w:ilvl="0" w:tplc="EF845286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2">
    <w:nsid w:val="41214AA2"/>
    <w:multiLevelType w:val="hybridMultilevel"/>
    <w:tmpl w:val="E6DC43C6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4A9B50C0"/>
    <w:multiLevelType w:val="hybridMultilevel"/>
    <w:tmpl w:val="B1A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EA12C7"/>
    <w:multiLevelType w:val="hybridMultilevel"/>
    <w:tmpl w:val="39B09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1487D"/>
    <w:multiLevelType w:val="hybridMultilevel"/>
    <w:tmpl w:val="6108E2B6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>
    <w:nsid w:val="55614219"/>
    <w:multiLevelType w:val="hybridMultilevel"/>
    <w:tmpl w:val="7842F96C"/>
    <w:lvl w:ilvl="0" w:tplc="1DA250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7C369A"/>
    <w:multiLevelType w:val="hybridMultilevel"/>
    <w:tmpl w:val="CDFCC70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03702"/>
    <w:multiLevelType w:val="hybridMultilevel"/>
    <w:tmpl w:val="192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2E506E"/>
    <w:multiLevelType w:val="hybridMultilevel"/>
    <w:tmpl w:val="2292BD8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1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C30119"/>
    <w:multiLevelType w:val="hybridMultilevel"/>
    <w:tmpl w:val="A238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C1A40"/>
    <w:multiLevelType w:val="hybridMultilevel"/>
    <w:tmpl w:val="955A30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4"/>
  </w:num>
  <w:num w:numId="4">
    <w:abstractNumId w:val="30"/>
  </w:num>
  <w:num w:numId="5">
    <w:abstractNumId w:val="26"/>
  </w:num>
  <w:num w:numId="6">
    <w:abstractNumId w:val="36"/>
  </w:num>
  <w:num w:numId="7">
    <w:abstractNumId w:val="27"/>
  </w:num>
  <w:num w:numId="8">
    <w:abstractNumId w:val="41"/>
  </w:num>
  <w:num w:numId="9">
    <w:abstractNumId w:val="8"/>
  </w:num>
  <w:num w:numId="10">
    <w:abstractNumId w:val="16"/>
  </w:num>
  <w:num w:numId="11">
    <w:abstractNumId w:val="37"/>
  </w:num>
  <w:num w:numId="12">
    <w:abstractNumId w:val="31"/>
  </w:num>
  <w:num w:numId="13">
    <w:abstractNumId w:val="12"/>
  </w:num>
  <w:num w:numId="14">
    <w:abstractNumId w:val="18"/>
  </w:num>
  <w:num w:numId="15">
    <w:abstractNumId w:val="28"/>
  </w:num>
  <w:num w:numId="16">
    <w:abstractNumId w:val="22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"/>
  </w:num>
  <w:num w:numId="31">
    <w:abstractNumId w:val="3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4"/>
  </w:num>
  <w:num w:numId="43">
    <w:abstractNumId w:val="1"/>
  </w:num>
  <w:num w:numId="44">
    <w:abstractNumId w:val="0"/>
    <w:lvlOverride w:ilvl="0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93"/>
    <w:rsid w:val="0000681C"/>
    <w:rsid w:val="00007180"/>
    <w:rsid w:val="00014286"/>
    <w:rsid w:val="00023A03"/>
    <w:rsid w:val="000664F6"/>
    <w:rsid w:val="00076FC2"/>
    <w:rsid w:val="00085302"/>
    <w:rsid w:val="000D3F02"/>
    <w:rsid w:val="000E1E74"/>
    <w:rsid w:val="000E2F64"/>
    <w:rsid w:val="000E5ABC"/>
    <w:rsid w:val="000F6082"/>
    <w:rsid w:val="00154126"/>
    <w:rsid w:val="00195A17"/>
    <w:rsid w:val="001A16F1"/>
    <w:rsid w:val="001A4108"/>
    <w:rsid w:val="001E1FAC"/>
    <w:rsid w:val="001E4786"/>
    <w:rsid w:val="001E7EA8"/>
    <w:rsid w:val="001F054E"/>
    <w:rsid w:val="001F27CA"/>
    <w:rsid w:val="001F6282"/>
    <w:rsid w:val="0022279A"/>
    <w:rsid w:val="002371B5"/>
    <w:rsid w:val="00264A87"/>
    <w:rsid w:val="002C3608"/>
    <w:rsid w:val="002C44E8"/>
    <w:rsid w:val="00322CA1"/>
    <w:rsid w:val="00335C9B"/>
    <w:rsid w:val="00337F92"/>
    <w:rsid w:val="00355FDC"/>
    <w:rsid w:val="00374D05"/>
    <w:rsid w:val="003A202D"/>
    <w:rsid w:val="003A26B2"/>
    <w:rsid w:val="003B1991"/>
    <w:rsid w:val="003C12D4"/>
    <w:rsid w:val="003D6F37"/>
    <w:rsid w:val="003E4832"/>
    <w:rsid w:val="00411963"/>
    <w:rsid w:val="00425CF2"/>
    <w:rsid w:val="00437BC7"/>
    <w:rsid w:val="004651C7"/>
    <w:rsid w:val="00466229"/>
    <w:rsid w:val="0047458C"/>
    <w:rsid w:val="004758BB"/>
    <w:rsid w:val="004C361A"/>
    <w:rsid w:val="004C3995"/>
    <w:rsid w:val="004C3A86"/>
    <w:rsid w:val="004F2873"/>
    <w:rsid w:val="005140DD"/>
    <w:rsid w:val="005154F2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E3247"/>
    <w:rsid w:val="005E5D67"/>
    <w:rsid w:val="006058E8"/>
    <w:rsid w:val="006153BA"/>
    <w:rsid w:val="006365DF"/>
    <w:rsid w:val="006A23C6"/>
    <w:rsid w:val="006A3DEA"/>
    <w:rsid w:val="006B0D13"/>
    <w:rsid w:val="006B27DD"/>
    <w:rsid w:val="006B681C"/>
    <w:rsid w:val="006C6E7F"/>
    <w:rsid w:val="006E7A10"/>
    <w:rsid w:val="006F4274"/>
    <w:rsid w:val="00724F6F"/>
    <w:rsid w:val="00735825"/>
    <w:rsid w:val="007429DA"/>
    <w:rsid w:val="00746241"/>
    <w:rsid w:val="00753F88"/>
    <w:rsid w:val="00773413"/>
    <w:rsid w:val="00773BCD"/>
    <w:rsid w:val="007808D5"/>
    <w:rsid w:val="007B50D4"/>
    <w:rsid w:val="007D016D"/>
    <w:rsid w:val="007E2785"/>
    <w:rsid w:val="007E3D93"/>
    <w:rsid w:val="00802605"/>
    <w:rsid w:val="00807AAA"/>
    <w:rsid w:val="0081637F"/>
    <w:rsid w:val="00845536"/>
    <w:rsid w:val="00895820"/>
    <w:rsid w:val="008A05D6"/>
    <w:rsid w:val="008A59C0"/>
    <w:rsid w:val="008D279D"/>
    <w:rsid w:val="008D5AB9"/>
    <w:rsid w:val="008E3C04"/>
    <w:rsid w:val="008F23A0"/>
    <w:rsid w:val="0091131C"/>
    <w:rsid w:val="009125C4"/>
    <w:rsid w:val="00944EBE"/>
    <w:rsid w:val="00952519"/>
    <w:rsid w:val="009550B1"/>
    <w:rsid w:val="00955C12"/>
    <w:rsid w:val="00997557"/>
    <w:rsid w:val="009A1AE6"/>
    <w:rsid w:val="009A630B"/>
    <w:rsid w:val="009F01A4"/>
    <w:rsid w:val="00A01390"/>
    <w:rsid w:val="00A127B2"/>
    <w:rsid w:val="00A156EF"/>
    <w:rsid w:val="00A164C4"/>
    <w:rsid w:val="00A20FF8"/>
    <w:rsid w:val="00A27A87"/>
    <w:rsid w:val="00A55038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415B"/>
    <w:rsid w:val="00B20502"/>
    <w:rsid w:val="00B24F0B"/>
    <w:rsid w:val="00B3257D"/>
    <w:rsid w:val="00B34BDF"/>
    <w:rsid w:val="00B36B45"/>
    <w:rsid w:val="00B52634"/>
    <w:rsid w:val="00B70AF4"/>
    <w:rsid w:val="00B75040"/>
    <w:rsid w:val="00B864C7"/>
    <w:rsid w:val="00BA1C3C"/>
    <w:rsid w:val="00BA2535"/>
    <w:rsid w:val="00BC5E62"/>
    <w:rsid w:val="00BC75C9"/>
    <w:rsid w:val="00BD3933"/>
    <w:rsid w:val="00BE41B2"/>
    <w:rsid w:val="00BE6612"/>
    <w:rsid w:val="00C055F3"/>
    <w:rsid w:val="00C130C7"/>
    <w:rsid w:val="00C1644C"/>
    <w:rsid w:val="00C23339"/>
    <w:rsid w:val="00C3429A"/>
    <w:rsid w:val="00C63DFF"/>
    <w:rsid w:val="00CB7FAD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F1067"/>
    <w:rsid w:val="00DF75B9"/>
    <w:rsid w:val="00E104CC"/>
    <w:rsid w:val="00E2018C"/>
    <w:rsid w:val="00E22B23"/>
    <w:rsid w:val="00E35DAF"/>
    <w:rsid w:val="00E4463E"/>
    <w:rsid w:val="00E540FB"/>
    <w:rsid w:val="00E5554F"/>
    <w:rsid w:val="00E57350"/>
    <w:rsid w:val="00E648BA"/>
    <w:rsid w:val="00E72C24"/>
    <w:rsid w:val="00E75E15"/>
    <w:rsid w:val="00EC05E3"/>
    <w:rsid w:val="00ED5D1A"/>
    <w:rsid w:val="00EE338F"/>
    <w:rsid w:val="00EF4E9A"/>
    <w:rsid w:val="00F45F9C"/>
    <w:rsid w:val="00F710CA"/>
    <w:rsid w:val="00F87068"/>
    <w:rsid w:val="00FB4B2A"/>
    <w:rsid w:val="00FC029F"/>
    <w:rsid w:val="00FC248F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0145-AD03-4150-ABAD-429FC3E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17</cp:revision>
  <dcterms:created xsi:type="dcterms:W3CDTF">2019-08-02T08:02:00Z</dcterms:created>
  <dcterms:modified xsi:type="dcterms:W3CDTF">2019-08-28T11:31:00Z</dcterms:modified>
</cp:coreProperties>
</file>