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201765" w:rsidP="00EC45CD">
      <w:pPr>
        <w:jc w:val="center"/>
        <w:rPr>
          <w:sz w:val="28"/>
        </w:rPr>
      </w:pPr>
      <w:r>
        <w:rPr>
          <w:sz w:val="28"/>
        </w:rPr>
        <w:t>ПРАВОВЫЕ ОСНОВЫ ДЕЯТЕЛЬНОСТИ РОСПОТРЕБНАДЗОРА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CC3961" w:rsidP="00D91C2F">
      <w:pP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32.08.11 Социальная гигиена и организация госсанэпидслужбы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C3961" w:rsidRPr="00CC3961">
        <w:rPr>
          <w:i/>
          <w:color w:val="000000"/>
          <w:sz w:val="24"/>
          <w:szCs w:val="28"/>
        </w:rPr>
        <w:t xml:space="preserve">32.08.11 </w:t>
      </w:r>
      <w:r w:rsidR="00CC3961">
        <w:rPr>
          <w:i/>
          <w:color w:val="000000"/>
          <w:sz w:val="24"/>
          <w:szCs w:val="28"/>
        </w:rPr>
        <w:t>С</w:t>
      </w:r>
      <w:r w:rsidR="00CC3961" w:rsidRPr="00CC3961">
        <w:rPr>
          <w:i/>
          <w:color w:val="000000"/>
          <w:sz w:val="24"/>
          <w:szCs w:val="28"/>
        </w:rPr>
        <w:t>оциальная гигиена и организация госсанэпидслужбы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Pr="009373F6" w:rsidRDefault="00D91C2F" w:rsidP="00D91C2F">
      <w:pPr>
        <w:jc w:val="both"/>
        <w:rPr>
          <w:color w:val="000000"/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8"/>
          <w:szCs w:val="28"/>
        </w:rPr>
      </w:pPr>
      <w:r w:rsidRPr="009373F6">
        <w:rPr>
          <w:color w:val="000000"/>
          <w:sz w:val="28"/>
          <w:szCs w:val="28"/>
        </w:rPr>
        <w:t xml:space="preserve">протокол № </w:t>
      </w:r>
      <w:r w:rsidR="00CC3961">
        <w:rPr>
          <w:color w:val="000000"/>
          <w:sz w:val="28"/>
          <w:szCs w:val="28"/>
        </w:rPr>
        <w:t>11</w:t>
      </w:r>
      <w:r w:rsidRPr="009373F6">
        <w:rPr>
          <w:color w:val="000000"/>
          <w:sz w:val="28"/>
          <w:szCs w:val="28"/>
        </w:rPr>
        <w:t xml:space="preserve"> от </w:t>
      </w:r>
      <w:r w:rsidR="00CC3961">
        <w:rPr>
          <w:color w:val="000000"/>
          <w:sz w:val="28"/>
          <w:szCs w:val="28"/>
        </w:rPr>
        <w:t>2</w:t>
      </w:r>
      <w:r w:rsidR="00DE20D2">
        <w:rPr>
          <w:color w:val="000000"/>
          <w:sz w:val="28"/>
          <w:szCs w:val="28"/>
        </w:rPr>
        <w:t xml:space="preserve">2 </w:t>
      </w:r>
      <w:r w:rsidR="00CC3961">
        <w:rPr>
          <w:color w:val="000000"/>
          <w:sz w:val="28"/>
          <w:szCs w:val="28"/>
        </w:rPr>
        <w:t>июня</w:t>
      </w:r>
      <w:r w:rsidRPr="009373F6">
        <w:rPr>
          <w:color w:val="000000"/>
          <w:sz w:val="28"/>
          <w:szCs w:val="28"/>
        </w:rPr>
        <w:t xml:space="preserve"> 20</w:t>
      </w:r>
      <w:r w:rsidR="00DE20D2">
        <w:rPr>
          <w:color w:val="000000"/>
          <w:sz w:val="28"/>
          <w:szCs w:val="28"/>
        </w:rPr>
        <w:t>18</w:t>
      </w:r>
      <w:r w:rsidRPr="009373F6">
        <w:rPr>
          <w:color w:val="000000"/>
          <w:sz w:val="28"/>
          <w:szCs w:val="28"/>
        </w:rPr>
        <w:t xml:space="preserve"> г.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81CA0" w:rsidRPr="00CB4CE8" w:rsidRDefault="005634C1" w:rsidP="00581CA0">
      <w:pPr>
        <w:ind w:firstLine="709"/>
        <w:jc w:val="both"/>
        <w:rPr>
          <w:sz w:val="28"/>
          <w:szCs w:val="28"/>
        </w:rPr>
      </w:pPr>
      <w:r w:rsidRPr="000416A6">
        <w:rPr>
          <w:sz w:val="28"/>
        </w:rPr>
        <w:t>В результате самостоятельной работы по модулю «</w:t>
      </w:r>
      <w:r w:rsidR="00201765">
        <w:rPr>
          <w:color w:val="000000"/>
          <w:sz w:val="28"/>
          <w:szCs w:val="28"/>
        </w:rPr>
        <w:t xml:space="preserve">Правовые основы деятельности </w:t>
      </w:r>
      <w:proofErr w:type="spellStart"/>
      <w:r w:rsidR="00201765">
        <w:rPr>
          <w:color w:val="000000"/>
          <w:sz w:val="28"/>
          <w:szCs w:val="28"/>
        </w:rPr>
        <w:t>Роспотребнадзора</w:t>
      </w:r>
      <w:proofErr w:type="spellEnd"/>
      <w:r>
        <w:rPr>
          <w:sz w:val="28"/>
        </w:rPr>
        <w:t>» обучающие</w:t>
      </w:r>
      <w:r w:rsidRPr="000416A6">
        <w:rPr>
          <w:sz w:val="28"/>
        </w:rPr>
        <w:t>ся должн</w:t>
      </w:r>
      <w:r>
        <w:rPr>
          <w:sz w:val="28"/>
        </w:rPr>
        <w:t>ы</w:t>
      </w:r>
      <w:r w:rsidR="000C6B4F">
        <w:rPr>
          <w:sz w:val="28"/>
        </w:rPr>
        <w:t xml:space="preserve"> иметь представления </w:t>
      </w:r>
      <w:r w:rsidR="000C6B4F" w:rsidRPr="000C6B4F">
        <w:rPr>
          <w:sz w:val="28"/>
        </w:rPr>
        <w:t xml:space="preserve">о </w:t>
      </w:r>
      <w:r w:rsidR="00CC3961">
        <w:rPr>
          <w:sz w:val="28"/>
        </w:rPr>
        <w:t xml:space="preserve">порядке и методах проведения </w:t>
      </w:r>
      <w:r w:rsidR="00D147DB" w:rsidRPr="00A458CB">
        <w:rPr>
          <w:color w:val="000000"/>
          <w:sz w:val="28"/>
          <w:szCs w:val="28"/>
        </w:rPr>
        <w:t>санитарно-</w:t>
      </w:r>
      <w:r w:rsidR="00D147DB">
        <w:rPr>
          <w:color w:val="000000"/>
          <w:sz w:val="28"/>
          <w:szCs w:val="28"/>
        </w:rPr>
        <w:t>гигиенических лабораторных исследований</w:t>
      </w:r>
      <w:r w:rsidR="00581CA0" w:rsidRPr="00CB4CE8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Pr="000C6B4F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CB4CE8" w:rsidRPr="00CB4CE8" w:rsidRDefault="00CB4CE8" w:rsidP="00F55788">
      <w:pP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Тема самостоятельной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Форма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71EF2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Форма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контактной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работы при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проведении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текущего</w:t>
            </w:r>
          </w:p>
          <w:p w:rsidR="006F14A4" w:rsidRPr="00071EF2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71EF2">
              <w:rPr>
                <w:sz w:val="24"/>
                <w:szCs w:val="24"/>
              </w:rPr>
              <w:t>контроля</w:t>
            </w:r>
          </w:p>
        </w:tc>
      </w:tr>
      <w:tr w:rsidR="00605F7C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071EF2" w:rsidRDefault="006F14A4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5</w:t>
            </w:r>
          </w:p>
        </w:tc>
      </w:tr>
      <w:tr w:rsidR="009978D9" w:rsidRPr="00071EF2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9978D9" w:rsidRPr="00071EF2" w:rsidRDefault="009978D9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71EF2">
              <w:rPr>
                <w:i/>
                <w:sz w:val="24"/>
                <w:szCs w:val="24"/>
              </w:rPr>
              <w:t>Самостоятел</w:t>
            </w:r>
            <w:r w:rsidR="00693E11" w:rsidRPr="00071EF2">
              <w:rPr>
                <w:i/>
                <w:sz w:val="24"/>
                <w:szCs w:val="24"/>
              </w:rPr>
              <w:t>ьная работа в рамках м</w:t>
            </w:r>
            <w:r w:rsidRPr="00071EF2">
              <w:rPr>
                <w:i/>
                <w:sz w:val="24"/>
                <w:szCs w:val="24"/>
              </w:rPr>
              <w:t>одул</w:t>
            </w:r>
            <w:r w:rsidR="005670B4" w:rsidRPr="00071EF2">
              <w:rPr>
                <w:i/>
                <w:sz w:val="24"/>
                <w:szCs w:val="24"/>
              </w:rPr>
              <w:t>я</w:t>
            </w:r>
          </w:p>
        </w:tc>
      </w:tr>
      <w:tr w:rsidR="00605F7C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9978D9" w:rsidRPr="00071EF2" w:rsidRDefault="009978D9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9978D9" w:rsidRPr="00071EF2" w:rsidRDefault="00693E11" w:rsidP="000C6B4F">
            <w:pPr>
              <w:jc w:val="center"/>
              <w:rPr>
                <w:sz w:val="24"/>
                <w:szCs w:val="24"/>
              </w:rPr>
            </w:pPr>
            <w:r w:rsidRPr="00201765">
              <w:rPr>
                <w:sz w:val="22"/>
                <w:szCs w:val="22"/>
              </w:rPr>
              <w:t>Модуль «</w:t>
            </w:r>
            <w:r w:rsidR="00201765" w:rsidRPr="00201765">
              <w:rPr>
                <w:color w:val="000000"/>
                <w:sz w:val="22"/>
                <w:szCs w:val="22"/>
              </w:rPr>
              <w:t xml:space="preserve">Правовые основы деятельности </w:t>
            </w:r>
            <w:proofErr w:type="spellStart"/>
            <w:r w:rsidR="00201765" w:rsidRPr="00201765">
              <w:rPr>
                <w:color w:val="000000"/>
                <w:sz w:val="22"/>
                <w:szCs w:val="22"/>
              </w:rPr>
              <w:t>Роспотребнадзора</w:t>
            </w:r>
            <w:proofErr w:type="spellEnd"/>
            <w:r w:rsidR="00AD092D" w:rsidRPr="00071EF2">
              <w:rPr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9978D9" w:rsidRPr="00071EF2" w:rsidRDefault="00216765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lastRenderedPageBreak/>
              <w:t>реферат</w:t>
            </w:r>
          </w:p>
        </w:tc>
        <w:tc>
          <w:tcPr>
            <w:tcW w:w="1961" w:type="dxa"/>
            <w:shd w:val="clear" w:color="auto" w:fill="auto"/>
          </w:tcPr>
          <w:p w:rsidR="009978D9" w:rsidRPr="00071EF2" w:rsidRDefault="00216765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Сдача реферата</w:t>
            </w:r>
          </w:p>
        </w:tc>
        <w:tc>
          <w:tcPr>
            <w:tcW w:w="1952" w:type="dxa"/>
            <w:shd w:val="clear" w:color="auto" w:fill="auto"/>
          </w:tcPr>
          <w:p w:rsidR="009978D9" w:rsidRPr="00071EF2" w:rsidRDefault="00A45B19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 xml:space="preserve">аудиторная, </w:t>
            </w:r>
            <w:r w:rsidR="00A6147F" w:rsidRPr="00071EF2">
              <w:rPr>
                <w:sz w:val="24"/>
                <w:szCs w:val="24"/>
              </w:rPr>
              <w:lastRenderedPageBreak/>
              <w:t>КСР</w:t>
            </w:r>
          </w:p>
        </w:tc>
      </w:tr>
      <w:tr w:rsidR="004B1FEE" w:rsidRPr="00071EF2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i/>
                <w:sz w:val="24"/>
                <w:szCs w:val="24"/>
              </w:rPr>
            </w:pPr>
            <w:r w:rsidRPr="00071EF2">
              <w:rPr>
                <w:i/>
                <w:sz w:val="24"/>
                <w:szCs w:val="24"/>
              </w:rPr>
              <w:lastRenderedPageBreak/>
              <w:t>Самостоятельная работа в рамках практических занятий</w:t>
            </w:r>
          </w:p>
          <w:p w:rsidR="004B1FEE" w:rsidRPr="00071EF2" w:rsidRDefault="004B1FEE" w:rsidP="000C6B4F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71EF2">
              <w:rPr>
                <w:i/>
                <w:sz w:val="24"/>
                <w:szCs w:val="24"/>
              </w:rPr>
              <w:t>модуля «</w:t>
            </w:r>
            <w:r w:rsidR="00201765" w:rsidRPr="00201765">
              <w:rPr>
                <w:i/>
                <w:sz w:val="24"/>
                <w:szCs w:val="24"/>
              </w:rPr>
              <w:t xml:space="preserve">Правовые основы деятельности </w:t>
            </w:r>
            <w:proofErr w:type="spellStart"/>
            <w:r w:rsidR="00201765" w:rsidRPr="00201765">
              <w:rPr>
                <w:i/>
                <w:sz w:val="24"/>
                <w:szCs w:val="24"/>
              </w:rPr>
              <w:t>Роспотребнадзора</w:t>
            </w:r>
            <w:proofErr w:type="spellEnd"/>
            <w:r w:rsidRPr="00071EF2">
              <w:rPr>
                <w:i/>
                <w:sz w:val="24"/>
                <w:szCs w:val="24"/>
              </w:rPr>
              <w:t>»</w:t>
            </w:r>
          </w:p>
        </w:tc>
      </w:tr>
      <w:tr w:rsidR="004B1FEE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4B1FEE" w:rsidRPr="00071EF2" w:rsidRDefault="004B1FEE" w:rsidP="00CC3961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Тема «</w:t>
            </w:r>
            <w:r w:rsidR="00201765" w:rsidRPr="00201765">
              <w:rPr>
                <w:sz w:val="24"/>
                <w:szCs w:val="24"/>
              </w:rPr>
              <w:t>Правовые и законодательные основы деятельности врача по гигиене питания</w:t>
            </w:r>
            <w:r w:rsidRPr="00071E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4B1FEE" w:rsidRPr="00071EF2" w:rsidRDefault="00581CA0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тестирование</w:t>
            </w:r>
            <w:r w:rsidR="00CB4CE8" w:rsidRPr="00071EF2">
              <w:rPr>
                <w:sz w:val="24"/>
                <w:szCs w:val="24"/>
              </w:rPr>
              <w:t xml:space="preserve"> </w:t>
            </w:r>
            <w:r w:rsidR="004B1FEE" w:rsidRPr="00071EF2">
              <w:rPr>
                <w:sz w:val="24"/>
                <w:szCs w:val="24"/>
              </w:rPr>
              <w:t xml:space="preserve">устный опрос </w:t>
            </w:r>
            <w:r w:rsidR="00CB4CE8" w:rsidRPr="00071EF2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аудиторная</w:t>
            </w:r>
          </w:p>
        </w:tc>
      </w:tr>
      <w:tr w:rsidR="004B1FEE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4B1FEE" w:rsidRPr="00071EF2" w:rsidRDefault="004B1FEE" w:rsidP="00D147DB">
            <w:pPr>
              <w:jc w:val="center"/>
              <w:rPr>
                <w:sz w:val="24"/>
                <w:szCs w:val="24"/>
              </w:rPr>
            </w:pPr>
            <w:r w:rsidRPr="00071EF2">
              <w:rPr>
                <w:color w:val="000000"/>
                <w:sz w:val="24"/>
                <w:szCs w:val="24"/>
              </w:rPr>
              <w:t>Тема «</w:t>
            </w:r>
            <w:r w:rsidR="00201765" w:rsidRPr="00201765">
              <w:rPr>
                <w:color w:val="000000"/>
                <w:sz w:val="24"/>
                <w:szCs w:val="24"/>
              </w:rPr>
              <w:t>Правовые и законодательные основы деятельности врача по коммунальной гигиене</w:t>
            </w:r>
            <w:r w:rsidRPr="00071E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4B1FEE" w:rsidRPr="00071EF2" w:rsidRDefault="000C6B4F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тестирование 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аудиторная</w:t>
            </w:r>
          </w:p>
        </w:tc>
      </w:tr>
      <w:tr w:rsidR="004B1FEE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4B1FEE" w:rsidRPr="00071EF2" w:rsidRDefault="004B1FEE" w:rsidP="00CC3961">
            <w:pPr>
              <w:jc w:val="center"/>
              <w:rPr>
                <w:sz w:val="24"/>
                <w:szCs w:val="24"/>
              </w:rPr>
            </w:pPr>
            <w:r w:rsidRPr="00071EF2">
              <w:rPr>
                <w:color w:val="000000"/>
                <w:sz w:val="24"/>
                <w:szCs w:val="24"/>
              </w:rPr>
              <w:t>Тема «</w:t>
            </w:r>
            <w:r w:rsidR="00201765" w:rsidRPr="00201765">
              <w:rPr>
                <w:color w:val="000000"/>
                <w:sz w:val="24"/>
                <w:szCs w:val="24"/>
              </w:rPr>
              <w:t>Правовые и законодательные основы деятельности врача по гигиене труда</w:t>
            </w:r>
            <w:r w:rsidRPr="00071E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 xml:space="preserve">работа </w:t>
            </w:r>
            <w:r w:rsidR="00581CA0" w:rsidRPr="00071EF2">
              <w:rPr>
                <w:sz w:val="24"/>
                <w:szCs w:val="24"/>
              </w:rPr>
              <w:t xml:space="preserve">над </w:t>
            </w:r>
            <w:r w:rsidRPr="00071EF2">
              <w:rPr>
                <w:sz w:val="24"/>
                <w:szCs w:val="24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4B1FEE" w:rsidRPr="00071EF2" w:rsidRDefault="000C6B4F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тестирование 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аудиторная</w:t>
            </w:r>
          </w:p>
        </w:tc>
      </w:tr>
      <w:tr w:rsidR="004B1FEE" w:rsidRPr="00071EF2" w:rsidTr="000C6B4F">
        <w:trPr>
          <w:jc w:val="center"/>
        </w:trPr>
        <w:tc>
          <w:tcPr>
            <w:tcW w:w="526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4</w:t>
            </w:r>
          </w:p>
        </w:tc>
        <w:tc>
          <w:tcPr>
            <w:tcW w:w="2590" w:type="dxa"/>
            <w:shd w:val="clear" w:color="auto" w:fill="auto"/>
          </w:tcPr>
          <w:p w:rsidR="004B1FEE" w:rsidRPr="00071EF2" w:rsidRDefault="004B1FEE" w:rsidP="00CC3961">
            <w:pPr>
              <w:jc w:val="center"/>
              <w:rPr>
                <w:sz w:val="24"/>
                <w:szCs w:val="24"/>
              </w:rPr>
            </w:pPr>
            <w:r w:rsidRPr="00071EF2">
              <w:rPr>
                <w:color w:val="000000"/>
                <w:sz w:val="24"/>
                <w:szCs w:val="24"/>
              </w:rPr>
              <w:t>Тема «</w:t>
            </w:r>
            <w:r w:rsidR="00201765" w:rsidRPr="00201765">
              <w:rPr>
                <w:color w:val="000000"/>
                <w:sz w:val="24"/>
                <w:szCs w:val="24"/>
              </w:rPr>
              <w:t>Правовые и законодательные основы деятельности врача по гигиене детей и подростков. Правовые и законодательные основы деятельности врача по радиационной гигиене</w:t>
            </w:r>
            <w:r w:rsidRPr="00071E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4B1FEE" w:rsidRPr="00071EF2" w:rsidRDefault="000C6B4F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тестирование 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4B1FEE" w:rsidRPr="00071EF2" w:rsidRDefault="004B1FEE" w:rsidP="00071EF2">
            <w:pPr>
              <w:jc w:val="center"/>
              <w:rPr>
                <w:sz w:val="24"/>
                <w:szCs w:val="24"/>
              </w:rPr>
            </w:pPr>
            <w:r w:rsidRPr="00071EF2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190EA9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190EA9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05D91" w:rsidRDefault="00905D91" w:rsidP="000F40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216765" w:rsidRDefault="00216765" w:rsidP="00216765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:rsidR="00216765" w:rsidRPr="00AD3EBB" w:rsidRDefault="00216765" w:rsidP="00216765">
      <w:pPr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216765" w:rsidRPr="009C4A0D" w:rsidRDefault="00216765" w:rsidP="0021676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216765" w:rsidRPr="00AD3EBB" w:rsidRDefault="00216765" w:rsidP="0021676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 xml:space="preserve">) если суммирование данных невозможно, то в этой графе ставят знак умножения; </w:t>
      </w:r>
    </w:p>
    <w:p w:rsidR="00216765" w:rsidRDefault="00216765" w:rsidP="0021676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216765" w:rsidRDefault="00216765" w:rsidP="00216765">
      <w:pPr>
        <w:ind w:firstLine="709"/>
        <w:jc w:val="both"/>
        <w:rPr>
          <w:sz w:val="28"/>
        </w:rPr>
      </w:pPr>
    </w:p>
    <w:p w:rsidR="00216765" w:rsidRPr="00BD5AFD" w:rsidRDefault="00216765" w:rsidP="00AA15D7">
      <w:pPr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216765" w:rsidRPr="00BD5AFD" w:rsidRDefault="00216765" w:rsidP="0021676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актуальность рассматриваемой проблемы;</w:t>
      </w:r>
    </w:p>
    <w:p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обоснованность излагаемых проблем, вопросов, предложений;</w:t>
      </w:r>
    </w:p>
    <w:p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логичность, последовательность и краткость изложения;</w:t>
      </w:r>
    </w:p>
    <w:p w:rsidR="00216765" w:rsidRPr="00216765" w:rsidRDefault="00216765" w:rsidP="00216765">
      <w:pPr>
        <w:pStyle w:val="aa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216765">
        <w:rPr>
          <w:sz w:val="28"/>
          <w:szCs w:val="28"/>
        </w:rPr>
        <w:t>отражение мнения по проблеме реферирующего.</w:t>
      </w:r>
    </w:p>
    <w:p w:rsidR="00216765" w:rsidRPr="00BD5AFD" w:rsidRDefault="00216765" w:rsidP="0021676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7B" w:rsidRDefault="00C12B7B" w:rsidP="00FD5B6B">
      <w:r>
        <w:separator/>
      </w:r>
    </w:p>
  </w:endnote>
  <w:endnote w:type="continuationSeparator" w:id="0">
    <w:p w:rsidR="00C12B7B" w:rsidRDefault="00C12B7B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190EA9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201765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7B" w:rsidRDefault="00C12B7B" w:rsidP="00FD5B6B">
      <w:r>
        <w:separator/>
      </w:r>
    </w:p>
  </w:footnote>
  <w:footnote w:type="continuationSeparator" w:id="0">
    <w:p w:rsidR="00C12B7B" w:rsidRDefault="00C12B7B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DFEE2D32"/>
    <w:lvl w:ilvl="0" w:tplc="0B3094E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6B4F"/>
    <w:rsid w:val="000F4023"/>
    <w:rsid w:val="00111B2A"/>
    <w:rsid w:val="00190EA9"/>
    <w:rsid w:val="001A7BB3"/>
    <w:rsid w:val="001D3FDC"/>
    <w:rsid w:val="001F02EA"/>
    <w:rsid w:val="001F5EE1"/>
    <w:rsid w:val="00201765"/>
    <w:rsid w:val="00216765"/>
    <w:rsid w:val="0026698D"/>
    <w:rsid w:val="002808CD"/>
    <w:rsid w:val="002A25B3"/>
    <w:rsid w:val="002D2784"/>
    <w:rsid w:val="00325143"/>
    <w:rsid w:val="0033240B"/>
    <w:rsid w:val="003B5F75"/>
    <w:rsid w:val="003C37BE"/>
    <w:rsid w:val="003F7C69"/>
    <w:rsid w:val="00406AE2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52588F"/>
    <w:rsid w:val="005634C1"/>
    <w:rsid w:val="005670B4"/>
    <w:rsid w:val="005677BE"/>
    <w:rsid w:val="00576EF6"/>
    <w:rsid w:val="00581CA0"/>
    <w:rsid w:val="00582BA5"/>
    <w:rsid w:val="00593334"/>
    <w:rsid w:val="005C4342"/>
    <w:rsid w:val="00600B21"/>
    <w:rsid w:val="00605F7C"/>
    <w:rsid w:val="00632C7A"/>
    <w:rsid w:val="006847B8"/>
    <w:rsid w:val="00691179"/>
    <w:rsid w:val="00693E11"/>
    <w:rsid w:val="006A5C36"/>
    <w:rsid w:val="006D414D"/>
    <w:rsid w:val="006F14A4"/>
    <w:rsid w:val="006F7AD8"/>
    <w:rsid w:val="007006AF"/>
    <w:rsid w:val="00742208"/>
    <w:rsid w:val="007554D8"/>
    <w:rsid w:val="00755609"/>
    <w:rsid w:val="0076316E"/>
    <w:rsid w:val="00765BFD"/>
    <w:rsid w:val="00773B3B"/>
    <w:rsid w:val="0079237F"/>
    <w:rsid w:val="00801D49"/>
    <w:rsid w:val="008113A5"/>
    <w:rsid w:val="00832D24"/>
    <w:rsid w:val="00845C7D"/>
    <w:rsid w:val="008A3299"/>
    <w:rsid w:val="008E094D"/>
    <w:rsid w:val="00905D91"/>
    <w:rsid w:val="009511F7"/>
    <w:rsid w:val="00961763"/>
    <w:rsid w:val="00985E1D"/>
    <w:rsid w:val="009978D9"/>
    <w:rsid w:val="009C2F35"/>
    <w:rsid w:val="009C4A0D"/>
    <w:rsid w:val="009D6D6A"/>
    <w:rsid w:val="009F49C5"/>
    <w:rsid w:val="009F712E"/>
    <w:rsid w:val="00A247E5"/>
    <w:rsid w:val="00A40764"/>
    <w:rsid w:val="00A45B19"/>
    <w:rsid w:val="00A56836"/>
    <w:rsid w:val="00A6147F"/>
    <w:rsid w:val="00AA15D7"/>
    <w:rsid w:val="00AC56D9"/>
    <w:rsid w:val="00AD092D"/>
    <w:rsid w:val="00AD3EBB"/>
    <w:rsid w:val="00AF327C"/>
    <w:rsid w:val="00B350F3"/>
    <w:rsid w:val="00B403E5"/>
    <w:rsid w:val="00B76475"/>
    <w:rsid w:val="00BF1CD1"/>
    <w:rsid w:val="00C12B7B"/>
    <w:rsid w:val="00C1490E"/>
    <w:rsid w:val="00C35B2E"/>
    <w:rsid w:val="00C41316"/>
    <w:rsid w:val="00C83AB7"/>
    <w:rsid w:val="00CB4CE8"/>
    <w:rsid w:val="00CC3961"/>
    <w:rsid w:val="00CD37A5"/>
    <w:rsid w:val="00D06B87"/>
    <w:rsid w:val="00D06F77"/>
    <w:rsid w:val="00D147DB"/>
    <w:rsid w:val="00D14F8B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20D2"/>
    <w:rsid w:val="00DF353B"/>
    <w:rsid w:val="00E35D7A"/>
    <w:rsid w:val="00E57C66"/>
    <w:rsid w:val="00EC45CD"/>
    <w:rsid w:val="00EC7D93"/>
    <w:rsid w:val="00EE10AD"/>
    <w:rsid w:val="00F0689E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D34ED"/>
    <w:rsid w:val="00FD5B6B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15E3C-81D8-4AD0-9AE8-6A67542C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9</cp:revision>
  <cp:lastPrinted>2019-03-11T04:50:00Z</cp:lastPrinted>
  <dcterms:created xsi:type="dcterms:W3CDTF">2019-03-28T18:56:00Z</dcterms:created>
  <dcterms:modified xsi:type="dcterms:W3CDTF">2019-06-23T20:16:00Z</dcterms:modified>
</cp:coreProperties>
</file>