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00929" w14:textId="77777777" w:rsidR="001C154B" w:rsidRPr="00CF7355" w:rsidRDefault="001C154B" w:rsidP="001C15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58BC3E56" w14:textId="77777777" w:rsidR="001C154B" w:rsidRPr="00CF7355" w:rsidRDefault="001C154B" w:rsidP="001C15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48B05E48" w14:textId="77777777" w:rsidR="001C154B" w:rsidRPr="00CF7355" w:rsidRDefault="001C154B" w:rsidP="001C15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311DBF5B" w14:textId="77777777" w:rsidR="001C154B" w:rsidRPr="00CF7355" w:rsidRDefault="001C154B" w:rsidP="001C15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5D42DFAC" w14:textId="77777777" w:rsidR="001C154B" w:rsidRDefault="001C154B" w:rsidP="001C15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8BAC9D" w14:textId="77777777" w:rsidR="001C154B" w:rsidRDefault="001C154B" w:rsidP="001C15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69E8CA" w14:textId="77777777" w:rsidR="001C154B" w:rsidRDefault="001C154B" w:rsidP="001C15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145A7C" w14:textId="77777777" w:rsidR="001C154B" w:rsidRDefault="001C154B" w:rsidP="001C15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E01D5E" w14:textId="77777777" w:rsidR="001C154B" w:rsidRDefault="001C154B" w:rsidP="001C15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D35C38" w14:textId="77777777" w:rsidR="001C154B" w:rsidRDefault="001C154B" w:rsidP="001C15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85853E" w14:textId="77777777" w:rsidR="001C154B" w:rsidRDefault="001C154B" w:rsidP="001C15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557E82" w14:textId="77777777" w:rsidR="001C154B" w:rsidRDefault="001C154B" w:rsidP="001C15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E2F2AD" w14:textId="77777777" w:rsidR="001C154B" w:rsidRDefault="001C154B" w:rsidP="001C15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84D28E" w14:textId="77777777" w:rsidR="001C154B" w:rsidRDefault="001C154B" w:rsidP="001C15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8E6727" w14:textId="77777777" w:rsidR="001C154B" w:rsidRDefault="001C154B" w:rsidP="001C15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182DA3" w14:textId="77777777" w:rsidR="001C154B" w:rsidRDefault="001C154B" w:rsidP="001C15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9BCAC4" w14:textId="77777777" w:rsidR="001C154B" w:rsidRPr="00BD661B" w:rsidRDefault="001C154B" w:rsidP="001C15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BE811D" w14:textId="77777777" w:rsidR="001C154B" w:rsidRPr="00CF7355" w:rsidRDefault="001C154B" w:rsidP="001C1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6E6C336A" w14:textId="77777777" w:rsidR="001C154B" w:rsidRPr="00CF7355" w:rsidRDefault="001C154B" w:rsidP="001C1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14:paraId="47FD54E1" w14:textId="77777777" w:rsidR="001C154B" w:rsidRPr="00CF7355" w:rsidRDefault="001C154B" w:rsidP="001C1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14:paraId="5CAE20D1" w14:textId="77777777" w:rsidR="001C154B" w:rsidRDefault="001C154B" w:rsidP="001C15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2DCD0A" w14:textId="77777777" w:rsidR="001C154B" w:rsidRDefault="001C154B" w:rsidP="001C154B">
      <w:pPr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</w:t>
      </w:r>
      <w:r w:rsidRPr="00CF7355">
        <w:rPr>
          <w:rFonts w:ascii="Times New Roman" w:hAnsi="Times New Roman"/>
          <w:sz w:val="28"/>
          <w:szCs w:val="20"/>
        </w:rPr>
        <w:t>_________</w:t>
      </w:r>
      <w:r w:rsidRPr="00DD1D66">
        <w:rPr>
          <w:rFonts w:ascii="Times New Roman" w:hAnsi="Times New Roman"/>
          <w:sz w:val="28"/>
          <w:szCs w:val="20"/>
          <w:u w:val="single"/>
        </w:rPr>
        <w:t>ПОЛИКЛИНИЧЕСКАЯ ТЕРАПИЯ</w:t>
      </w:r>
      <w:r w:rsidRPr="00CF7355">
        <w:rPr>
          <w:rFonts w:ascii="Times New Roman" w:hAnsi="Times New Roman"/>
          <w:sz w:val="28"/>
          <w:szCs w:val="20"/>
        </w:rPr>
        <w:t>___________</w:t>
      </w:r>
    </w:p>
    <w:p w14:paraId="3B1FCDAD" w14:textId="77777777" w:rsidR="001C154B" w:rsidRPr="00CF7355" w:rsidRDefault="001C154B" w:rsidP="001C154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4E2245E8" w14:textId="77777777" w:rsidR="001C154B" w:rsidRPr="00CF7355" w:rsidRDefault="001C154B" w:rsidP="001C154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13E0A9E1" w14:textId="77777777" w:rsidR="001C154B" w:rsidRPr="00CF7355" w:rsidRDefault="001C154B" w:rsidP="001C154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</w:t>
      </w:r>
      <w:r w:rsidRPr="00DD1D66">
        <w:rPr>
          <w:rFonts w:ascii="Times New Roman" w:hAnsi="Times New Roman"/>
          <w:sz w:val="28"/>
          <w:szCs w:val="20"/>
        </w:rPr>
        <w:t>о</w:t>
      </w:r>
      <w:r>
        <w:rPr>
          <w:rFonts w:ascii="Times New Roman" w:hAnsi="Times New Roman"/>
          <w:sz w:val="28"/>
          <w:szCs w:val="20"/>
        </w:rPr>
        <w:t xml:space="preserve"> специальности</w:t>
      </w:r>
    </w:p>
    <w:p w14:paraId="2CE1D2FD" w14:textId="77777777" w:rsidR="001C154B" w:rsidRPr="00CF7355" w:rsidRDefault="001C154B" w:rsidP="001C154B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14:paraId="6E67FADD" w14:textId="77777777" w:rsidR="001C154B" w:rsidRPr="00CF7355" w:rsidRDefault="001C154B" w:rsidP="001C154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EE3D59">
        <w:rPr>
          <w:rFonts w:ascii="Times New Roman" w:hAnsi="Times New Roman"/>
          <w:i/>
          <w:sz w:val="28"/>
          <w:szCs w:val="28"/>
        </w:rPr>
        <w:t xml:space="preserve">31.05.01 </w:t>
      </w:r>
      <w:r w:rsidRPr="00385778">
        <w:rPr>
          <w:rFonts w:ascii="Times New Roman" w:hAnsi="Times New Roman"/>
          <w:i/>
          <w:sz w:val="28"/>
          <w:szCs w:val="28"/>
        </w:rPr>
        <w:t>Лечебное дело</w:t>
      </w:r>
    </w:p>
    <w:p w14:paraId="260FF104" w14:textId="77777777" w:rsidR="001C154B" w:rsidRPr="00CF7355" w:rsidRDefault="001C154B" w:rsidP="001C154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_________________________________________________________________</w:t>
      </w:r>
    </w:p>
    <w:p w14:paraId="4C9DDC53" w14:textId="77777777" w:rsidR="001C154B" w:rsidRPr="00CF7355" w:rsidRDefault="001C154B" w:rsidP="001C154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5F1A4CFE" w14:textId="77777777" w:rsidR="001C154B" w:rsidRPr="00BD661B" w:rsidRDefault="001C154B" w:rsidP="001C15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089B3F" w14:textId="77777777" w:rsidR="001C154B" w:rsidRPr="00BD661B" w:rsidRDefault="001C154B" w:rsidP="001C15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3873BC" w14:textId="77777777" w:rsidR="001C154B" w:rsidRDefault="001C154B" w:rsidP="001C15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BCE7D0" w14:textId="77777777" w:rsidR="001C154B" w:rsidRDefault="001C154B" w:rsidP="001C15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15DB59" w14:textId="77777777" w:rsidR="001C154B" w:rsidRDefault="001C154B" w:rsidP="001C15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8CB56F" w14:textId="77777777" w:rsidR="001C154B" w:rsidRPr="00BD661B" w:rsidRDefault="001C154B" w:rsidP="001C15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191D78" w14:textId="77777777" w:rsidR="001C154B" w:rsidRDefault="001C154B" w:rsidP="001C15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8C5CA2" w14:textId="77777777" w:rsidR="001C154B" w:rsidRDefault="001C154B" w:rsidP="001C15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CA9D1A" w14:textId="77777777" w:rsidR="001C154B" w:rsidRDefault="001C154B" w:rsidP="001C15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F9B7CE" w14:textId="77777777" w:rsidR="001C154B" w:rsidRPr="00BD661B" w:rsidRDefault="001C154B" w:rsidP="001C15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0D06A4" w14:textId="77777777" w:rsidR="001C154B" w:rsidRDefault="001C154B" w:rsidP="001C15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C4B340" w14:textId="77777777" w:rsidR="001C154B" w:rsidRPr="00BD661B" w:rsidRDefault="001C154B" w:rsidP="001C15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1D406A" w14:textId="77777777" w:rsidR="001C154B" w:rsidRPr="00CF7355" w:rsidRDefault="001C154B" w:rsidP="001C15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C54EEB">
        <w:rPr>
          <w:rFonts w:ascii="Times New Roman" w:hAnsi="Times New Roman"/>
          <w:color w:val="000000"/>
          <w:sz w:val="24"/>
          <w:szCs w:val="24"/>
        </w:rPr>
        <w:t>по специальности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4EEB">
        <w:rPr>
          <w:rFonts w:ascii="Times New Roman" w:hAnsi="Times New Roman"/>
          <w:i/>
          <w:sz w:val="24"/>
          <w:szCs w:val="24"/>
        </w:rPr>
        <w:t xml:space="preserve">31.05.01 </w:t>
      </w:r>
      <w:r w:rsidRPr="00385778">
        <w:rPr>
          <w:rFonts w:ascii="Times New Roman" w:hAnsi="Times New Roman"/>
          <w:i/>
          <w:sz w:val="24"/>
          <w:szCs w:val="24"/>
        </w:rPr>
        <w:t>Лечебное дело,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14:paraId="0B3D1C1F" w14:textId="77777777" w:rsidR="001C154B" w:rsidRPr="00CF7355" w:rsidRDefault="001C154B" w:rsidP="001C15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6C7D2B" w14:textId="7EFA4890" w:rsidR="001C154B" w:rsidRDefault="001C154B" w:rsidP="001C154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153A2A">
        <w:rPr>
          <w:rFonts w:ascii="Times New Roman" w:hAnsi="Times New Roman"/>
          <w:color w:val="000000"/>
          <w:sz w:val="24"/>
          <w:szCs w:val="24"/>
          <w:u w:val="single"/>
        </w:rPr>
        <w:t>9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 от «</w:t>
      </w:r>
      <w:r w:rsidR="00153A2A">
        <w:rPr>
          <w:rFonts w:ascii="Times New Roman" w:hAnsi="Times New Roman"/>
          <w:color w:val="000000"/>
          <w:sz w:val="24"/>
          <w:szCs w:val="24"/>
        </w:rPr>
        <w:t>30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795475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153A2A">
        <w:rPr>
          <w:rFonts w:ascii="Times New Roman" w:hAnsi="Times New Roman"/>
          <w:color w:val="000000"/>
          <w:sz w:val="24"/>
          <w:szCs w:val="24"/>
          <w:u w:val="single"/>
        </w:rPr>
        <w:t>апреля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 w:rsidR="00153A2A">
        <w:rPr>
          <w:rFonts w:ascii="Times New Roman" w:hAnsi="Times New Roman"/>
          <w:color w:val="000000"/>
          <w:sz w:val="24"/>
          <w:szCs w:val="24"/>
        </w:rPr>
        <w:t>21</w:t>
      </w:r>
      <w:r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14:paraId="570AC565" w14:textId="77777777" w:rsidR="001C154B" w:rsidRDefault="001C154B" w:rsidP="001C154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343874F" w14:textId="77777777" w:rsidR="001C154B" w:rsidRPr="00CF7355" w:rsidRDefault="001C154B" w:rsidP="001C154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Оренбург</w:t>
      </w:r>
    </w:p>
    <w:p w14:paraId="60AAD6CF" w14:textId="77777777" w:rsidR="001C154B" w:rsidRDefault="001C154B" w:rsidP="001C15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5C3F51CC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Модуль 2.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Основные синдромы в практике участкового терапевта.</w:t>
      </w:r>
    </w:p>
    <w:p w14:paraId="0431DD99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80EEBEF" w14:textId="77777777" w:rsidR="004B51FE" w:rsidRDefault="004B51FE" w:rsidP="004B51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</w:p>
    <w:p w14:paraId="3F7DEFE3" w14:textId="77777777" w:rsidR="004B51FE" w:rsidRDefault="004B51FE" w:rsidP="004B51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D68BCEB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Дифференциальная диагностика болезней суставов.</w:t>
      </w:r>
    </w:p>
    <w:p w14:paraId="16245AF7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14:paraId="0BC2762C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дифференциальной диагностике болезней суставов и</w:t>
      </w:r>
      <w:r>
        <w:rPr>
          <w:rFonts w:ascii="Times New Roman" w:hAnsi="Times New Roman"/>
          <w:color w:val="000000"/>
          <w:sz w:val="28"/>
          <w:szCs w:val="28"/>
        </w:rPr>
        <w:t xml:space="preserve"> тактике амбулаторного ведения пациентов с этими заболеваниями. </w:t>
      </w:r>
    </w:p>
    <w:p w14:paraId="3E3C318E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2645D793" w14:textId="77777777" w:rsidR="004B51FE" w:rsidRDefault="004B51FE" w:rsidP="004B51FE">
      <w:pPr>
        <w:tabs>
          <w:tab w:val="left" w:pos="567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>
        <w:rPr>
          <w:rFonts w:ascii="Times New Roman" w:hAnsi="Times New Roman"/>
          <w:color w:val="000000"/>
          <w:sz w:val="28"/>
          <w:szCs w:val="28"/>
        </w:rPr>
        <w:t>В лекции рассматриваются определение суставного синдрома; заболевания, при которых данный синдром встречается; механизмы суставного синдрома при различных заболеваниях; данные анамнеза, необходимые для уточнения диагноза; другие клинические симптомы, с которыми данный синдром сочетается при предполагаемых заболеваниях; план исследований, которые следует использовать для уточнения диагноза; результаты обследований при предполагаемых заболеваниях; общие принципы лечения данного синдрома.</w:t>
      </w:r>
    </w:p>
    <w:p w14:paraId="606BE4B6" w14:textId="77777777" w:rsidR="004B51FE" w:rsidRDefault="004B51FE" w:rsidP="004B51FE">
      <w:pPr>
        <w:tabs>
          <w:tab w:val="left" w:pos="567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63210CE" w14:textId="77777777" w:rsidR="004B51FE" w:rsidRDefault="004B51FE" w:rsidP="004B51FE">
      <w:pPr>
        <w:spacing w:after="0" w:line="240" w:lineRule="auto"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14:paraId="69BB7DE2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8D93924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(презентация);</w:t>
      </w:r>
    </w:p>
    <w:p w14:paraId="20720574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 и ноутбук).</w:t>
      </w:r>
    </w:p>
    <w:p w14:paraId="5147F1C8" w14:textId="77777777" w:rsidR="004B51FE" w:rsidRDefault="004B51FE" w:rsidP="004B5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1359CD" w14:textId="77777777" w:rsidR="004B51FE" w:rsidRDefault="004B51FE" w:rsidP="004B51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Лекция № 2. </w:t>
      </w:r>
    </w:p>
    <w:p w14:paraId="1168E6A4" w14:textId="77777777" w:rsidR="004B51FE" w:rsidRDefault="004B51FE" w:rsidP="004B51FE">
      <w:pPr>
        <w:ind w:firstLine="56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  <w:u w:val="single"/>
        </w:rPr>
        <w:t>Остеопороз и его лечение.</w:t>
      </w:r>
    </w:p>
    <w:p w14:paraId="0064DAE7" w14:textId="77777777" w:rsidR="004B51FE" w:rsidRDefault="004B51FE" w:rsidP="004B51F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сформулировать у обучающихся знания об остеопорозе, который нередко диагностируется поздно (после первого малотравматичного перелома),</w:t>
      </w:r>
    </w:p>
    <w:p w14:paraId="382E81AC" w14:textId="77777777" w:rsidR="004B51FE" w:rsidRDefault="004B51FE" w:rsidP="004B5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Обобщить и систематизировать знания о костном метаболизме, факторах риска и причинах остеопороза, методах диагностики, сформировать понятия о мерах профилактики, лечебном воздействии на костный метаболизм в различных ситуациях.</w:t>
      </w:r>
    </w:p>
    <w:p w14:paraId="6B316E56" w14:textId="77777777" w:rsidR="004B51FE" w:rsidRDefault="004B51FE" w:rsidP="004B51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лекции</w:t>
      </w:r>
      <w:r>
        <w:rPr>
          <w:rFonts w:ascii="Times New Roman" w:hAnsi="Times New Roman"/>
          <w:sz w:val="28"/>
          <w:szCs w:val="28"/>
        </w:rPr>
        <w:t xml:space="preserve">. Даётся определение остеопороза. Разбираются факторы, регулирующие и контролирующие процессы костного </w:t>
      </w:r>
      <w:proofErr w:type="spellStart"/>
      <w:r>
        <w:rPr>
          <w:rFonts w:ascii="Times New Roman" w:hAnsi="Times New Roman"/>
          <w:sz w:val="28"/>
          <w:szCs w:val="28"/>
        </w:rPr>
        <w:t>ремоделирования</w:t>
      </w:r>
      <w:proofErr w:type="spellEnd"/>
      <w:r>
        <w:rPr>
          <w:rFonts w:ascii="Times New Roman" w:hAnsi="Times New Roman"/>
          <w:sz w:val="28"/>
          <w:szCs w:val="28"/>
        </w:rPr>
        <w:t>, а также факторы, предрасполагающие к развитию остеопороза. К числу их относятся, в том числе, различные заболевания, лекарственные препараты, которые приводят к вторичному остеопорозу.</w:t>
      </w:r>
    </w:p>
    <w:p w14:paraId="6262D313" w14:textId="77777777" w:rsidR="004B51FE" w:rsidRDefault="004B51FE" w:rsidP="004B5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Чаще всего имеет место первичный остеопороз (постменопаузальный и сенильный, которые нередко диагностируются после </w:t>
      </w:r>
      <w:proofErr w:type="spellStart"/>
      <w:r>
        <w:rPr>
          <w:rFonts w:ascii="Times New Roman" w:hAnsi="Times New Roman"/>
          <w:sz w:val="28"/>
          <w:szCs w:val="28"/>
        </w:rPr>
        <w:t>остеопоротического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(малотравматичного) перелома, который чаще всего локализуется в позвоночнике, костях запястья, шейке бедра.</w:t>
      </w:r>
    </w:p>
    <w:p w14:paraId="0448673C" w14:textId="77777777" w:rsidR="004B51FE" w:rsidRDefault="004B51FE" w:rsidP="004B5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Разбираются клинические проявления остеопороза, инструментальные и лабораторные методы диагностики его. Наиболее информативным методом </w:t>
      </w:r>
      <w:r>
        <w:rPr>
          <w:rFonts w:ascii="Times New Roman" w:hAnsi="Times New Roman"/>
          <w:sz w:val="28"/>
          <w:szCs w:val="28"/>
        </w:rPr>
        <w:lastRenderedPageBreak/>
        <w:t>диагностики, выявляющим от 2% потери костной массы, является рентгеновская денситометрия.</w:t>
      </w:r>
    </w:p>
    <w:p w14:paraId="68AD086A" w14:textId="77777777" w:rsidR="004B51FE" w:rsidRDefault="004B51FE" w:rsidP="004B5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лекции разбираются также вопросы профилактики остеопороза, существенная роль в которой отводится здоровому образу жизни, полноценному питанию, адекватному потреблению кальция и витамина Д.</w:t>
      </w:r>
    </w:p>
    <w:p w14:paraId="5128BD5F" w14:textId="77777777" w:rsidR="004B51FE" w:rsidRDefault="004B51FE" w:rsidP="004B5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Важнейшая проблема – активное выявление больных ОП, подлежащих лечению.  Цель терапии – предупреждение переломов. В идеале она должна быть начата до появления симптомов заболевания.</w:t>
      </w:r>
    </w:p>
    <w:p w14:paraId="22F5D0D0" w14:textId="77777777" w:rsidR="004B51FE" w:rsidRDefault="004B51FE" w:rsidP="004B5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эталонным считается метод отбора больных для лечения с помощью метода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ХА. При Т-критерии менее 2,5 диагностируется остеопороз, что требует проведение </w:t>
      </w:r>
      <w:proofErr w:type="spellStart"/>
      <w:r>
        <w:rPr>
          <w:rFonts w:ascii="Times New Roman" w:hAnsi="Times New Roman"/>
          <w:sz w:val="28"/>
          <w:szCs w:val="28"/>
        </w:rPr>
        <w:t>противоостеопоротической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терапии. Терапия остеопороза включает общие (немедикаментозные) мероприятия, коррекцию кальциевого обмена, лекарственную коррекцию процессов </w:t>
      </w:r>
      <w:proofErr w:type="spellStart"/>
      <w:r>
        <w:rPr>
          <w:rFonts w:ascii="Times New Roman" w:hAnsi="Times New Roman"/>
          <w:sz w:val="28"/>
          <w:szCs w:val="28"/>
        </w:rPr>
        <w:t>ремоделирования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кости, динамический контроль за проводимой терапией.</w:t>
      </w:r>
    </w:p>
    <w:p w14:paraId="4B58733C" w14:textId="77777777" w:rsidR="004B51FE" w:rsidRDefault="004B51FE" w:rsidP="004B5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Среди лекарственных препаратов, в зависимости от ситуации, проводят заместительную гормональную терапию эстрогенами, селективными модуляторами </w:t>
      </w:r>
      <w:proofErr w:type="spellStart"/>
      <w:r>
        <w:rPr>
          <w:rFonts w:ascii="Times New Roman" w:hAnsi="Times New Roman"/>
          <w:sz w:val="28"/>
          <w:szCs w:val="28"/>
        </w:rPr>
        <w:t>эстрогеновых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рецепторов, кальцитонином лосося, стронция </w:t>
      </w:r>
      <w:proofErr w:type="spellStart"/>
      <w:r>
        <w:rPr>
          <w:rFonts w:ascii="Times New Roman" w:hAnsi="Times New Roman"/>
          <w:sz w:val="28"/>
          <w:szCs w:val="28"/>
        </w:rPr>
        <w:t>ранелат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бисфосфонатами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терипаратидом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флюоридами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</w:t>
      </w:r>
    </w:p>
    <w:p w14:paraId="1B499D11" w14:textId="77777777" w:rsidR="004B51FE" w:rsidRDefault="004B51FE" w:rsidP="004B51F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последнее время появился препарат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Деносумаб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– генно-инженерный препарат из группы человеческих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моноклональных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антител, используемый для лечения различных патологий костной системы, известный во всем мире под международным торговым названием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Пролиа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. Показан для лечения патологии костей, которые влияют на строение и их минерализацию. Обладает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антирезорбтивными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свойствами.</w:t>
      </w:r>
    </w:p>
    <w:p w14:paraId="721B479A" w14:textId="77777777" w:rsidR="004B51FE" w:rsidRDefault="004B51FE" w:rsidP="004B51F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Особое внимание уделено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глюкокортикоидоиндуцированному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остеопорозу в связи с тем, что глюкокортикоиды широко применяются при лечении аутоиммунных процессов, патологии органов дыхания, в трансплантологии, онкологии и др. Длительный приём их даже в малых дозах приводит к прямому воздействию на дифференцировку, функцию и продолжительность жизни костных клеток. Возможно также опосредованное системное действие на костный метаболизм, развитие миопатии, увеличивающей риск падений и переломов.</w:t>
      </w:r>
    </w:p>
    <w:p w14:paraId="1B96C227" w14:textId="77777777" w:rsidR="004B51FE" w:rsidRDefault="004B51FE" w:rsidP="004B51F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01A31888" w14:textId="77777777" w:rsidR="004B51FE" w:rsidRDefault="004B51FE" w:rsidP="004B51F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333333"/>
          <w:sz w:val="28"/>
          <w:szCs w:val="28"/>
        </w:rPr>
        <w:t>информационная</w:t>
      </w:r>
    </w:p>
    <w:p w14:paraId="68F0BC05" w14:textId="77777777" w:rsidR="004B51FE" w:rsidRDefault="004B51FE" w:rsidP="004B51FE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Методы обучения, применяемые на лекции:</w:t>
      </w:r>
    </w:p>
    <w:p w14:paraId="766A08DF" w14:textId="77777777" w:rsidR="004B51FE" w:rsidRDefault="004B51FE" w:rsidP="004B51F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дидактические (презентация),</w:t>
      </w:r>
    </w:p>
    <w:p w14:paraId="5CE33E62" w14:textId="77777777" w:rsidR="004B51FE" w:rsidRDefault="004B51FE" w:rsidP="004B51F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материально-технические (мультимедийный проектор и ноутбук).</w:t>
      </w:r>
    </w:p>
    <w:p w14:paraId="14DD1AAF" w14:textId="77777777" w:rsidR="004B51FE" w:rsidRDefault="004B51FE" w:rsidP="004B51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1556054" w14:textId="77777777" w:rsidR="004B51FE" w:rsidRDefault="004B51FE" w:rsidP="004B51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Лекция №3. </w:t>
      </w:r>
    </w:p>
    <w:p w14:paraId="435D2532" w14:textId="77777777" w:rsidR="004B51FE" w:rsidRDefault="004B51FE" w:rsidP="004B51FE">
      <w:pPr>
        <w:ind w:firstLine="56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  <w:u w:val="single"/>
        </w:rPr>
        <w:t>Системная склеродермия.</w:t>
      </w:r>
    </w:p>
    <w:p w14:paraId="6768CF39" w14:textId="77777777" w:rsidR="004B51FE" w:rsidRDefault="004B51FE" w:rsidP="004B51F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системных заболеваниях соединительной ткани, входящих в группу ревматических заболеваний 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наиболее ярком представителе  их – системной склеродермии, систематизировать знания о патогенезе и клинических проявлениях собственно системной склеродермии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склеродермоподобных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заболеваний, сформировать новые  подходы к диагностике и лечению с учётом новых данных о патогенезе системного склероза в целом, так и путём воздействия на патологию различных органов и систем, обусловленных, главным образом,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склеродермической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микроангиопатией.</w:t>
      </w:r>
    </w:p>
    <w:p w14:paraId="3AE29DC4" w14:textId="77777777" w:rsidR="004B51FE" w:rsidRDefault="004B51FE" w:rsidP="004B51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лекции</w:t>
      </w:r>
      <w:r>
        <w:rPr>
          <w:rFonts w:ascii="Times New Roman" w:hAnsi="Times New Roman"/>
          <w:sz w:val="28"/>
          <w:szCs w:val="28"/>
        </w:rPr>
        <w:t xml:space="preserve">. В лекции даётся развёрнутое определение системной склеродермии, в основе которой лежит поражение соединительной ткани с преобладанием фиброза и сосудистые патологические изменения по типу облитерирующей микроангиопатии. Приводятся основные клинические формы </w:t>
      </w:r>
      <w:proofErr w:type="spellStart"/>
      <w:r>
        <w:rPr>
          <w:rFonts w:ascii="Times New Roman" w:hAnsi="Times New Roman"/>
          <w:sz w:val="28"/>
          <w:szCs w:val="28"/>
        </w:rPr>
        <w:t>склеродермической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группы болезней и различия в клинических проявлениях их. Разбираются критерии </w:t>
      </w:r>
      <w:r>
        <w:rPr>
          <w:rFonts w:ascii="Times New Roman" w:hAnsi="Times New Roman"/>
          <w:sz w:val="28"/>
          <w:szCs w:val="28"/>
          <w:lang w:val="en-US"/>
        </w:rPr>
        <w:t>ACR</w:t>
      </w:r>
      <w:r>
        <w:rPr>
          <w:rFonts w:ascii="Times New Roman" w:hAnsi="Times New Roman"/>
          <w:sz w:val="28"/>
          <w:szCs w:val="28"/>
        </w:rPr>
        <w:t xml:space="preserve">, используемые для диагностики системной склеродермии. Помимо клинических проявлений, одним из наиболее ранних из которых является синдром Рейно, учитывают результаты специальных диагностических исследований. К числу их относится широкопольная </w:t>
      </w:r>
      <w:proofErr w:type="spellStart"/>
      <w:r>
        <w:rPr>
          <w:rFonts w:ascii="Times New Roman" w:hAnsi="Times New Roman"/>
          <w:sz w:val="28"/>
          <w:szCs w:val="28"/>
        </w:rPr>
        <w:t>видеокапилляроскопия</w:t>
      </w:r>
      <w:proofErr w:type="spellEnd"/>
      <w:r>
        <w:rPr>
          <w:rFonts w:ascii="Times New Roman" w:hAnsi="Times New Roman"/>
          <w:sz w:val="28"/>
          <w:szCs w:val="28"/>
        </w:rPr>
        <w:t xml:space="preserve"> ногтевого ложа (прижизненная визуальная оценка структурных и функциональных качеств капилляров ногтевого ложа, имеющих только при системной склеродермии чёткое нозологическое своеобразие) и выявление иммунных нарушений, в том числе специфичных для данной патологии антител</w:t>
      </w:r>
    </w:p>
    <w:p w14:paraId="22CB3CCD" w14:textId="77777777" w:rsidR="004B51FE" w:rsidRDefault="004B51FE" w:rsidP="004B5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Разбираются новые классификационные критерии системной склеродермии (2001), алгоритм диагностики очень ранней системной склеродермии, клинические проявления в развёрнутой стадии болезни со стороны различных органов и систем. Представлена рабочая классификация системной склеродермии. Даны иллюстрации </w:t>
      </w:r>
      <w:proofErr w:type="gramStart"/>
      <w:r>
        <w:rPr>
          <w:rFonts w:ascii="Times New Roman" w:hAnsi="Times New Roman"/>
          <w:sz w:val="28"/>
          <w:szCs w:val="28"/>
        </w:rPr>
        <w:t>различных  проявлений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болезни.</w:t>
      </w:r>
    </w:p>
    <w:p w14:paraId="69E83AB8" w14:textId="77777777" w:rsidR="004B51FE" w:rsidRDefault="004B51FE" w:rsidP="004B5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заключение рассматриваются различные виды лечения в зависимости от характера течения.  Одним из компонентов лечения является немедикаментозная терапия. Основные цели лекарственного воздействия: сосудистый эндотелий (вазоактивная терапия), иммунная система (</w:t>
      </w:r>
      <w:proofErr w:type="spellStart"/>
      <w:r>
        <w:rPr>
          <w:rFonts w:ascii="Times New Roman" w:hAnsi="Times New Roman"/>
          <w:sz w:val="28"/>
          <w:szCs w:val="28"/>
        </w:rPr>
        <w:t>иммуносупрессия</w:t>
      </w:r>
      <w:proofErr w:type="spellEnd"/>
      <w:r>
        <w:rPr>
          <w:rFonts w:ascii="Times New Roman" w:hAnsi="Times New Roman"/>
          <w:sz w:val="28"/>
          <w:szCs w:val="28"/>
        </w:rPr>
        <w:t>), фибробласты (</w:t>
      </w:r>
      <w:proofErr w:type="spellStart"/>
      <w:r>
        <w:rPr>
          <w:rFonts w:ascii="Times New Roman" w:hAnsi="Times New Roman"/>
          <w:sz w:val="28"/>
          <w:szCs w:val="28"/>
        </w:rPr>
        <w:t>антифиброзная</w:t>
      </w:r>
      <w:proofErr w:type="spellEnd"/>
      <w:r>
        <w:rPr>
          <w:rFonts w:ascii="Times New Roman" w:hAnsi="Times New Roman"/>
          <w:sz w:val="28"/>
          <w:szCs w:val="28"/>
        </w:rPr>
        <w:t xml:space="preserve"> терапия). При наличии висцеральных поражений назначаются соответствующие препараты.</w:t>
      </w:r>
    </w:p>
    <w:p w14:paraId="0D21922B" w14:textId="77777777" w:rsidR="004B51FE" w:rsidRDefault="004B51FE" w:rsidP="004B5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F12F9F" w14:textId="77777777" w:rsidR="004B51FE" w:rsidRDefault="004B51FE" w:rsidP="004B51FE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333333"/>
          <w:sz w:val="28"/>
          <w:szCs w:val="28"/>
        </w:rPr>
        <w:t>информационная</w:t>
      </w:r>
    </w:p>
    <w:p w14:paraId="4EBCC2D9" w14:textId="77777777" w:rsidR="004B51FE" w:rsidRDefault="004B51FE" w:rsidP="004B51FE">
      <w:pPr>
        <w:spacing w:after="0" w:line="240" w:lineRule="auto"/>
        <w:ind w:firstLine="567"/>
        <w:jc w:val="both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Методы обучения, применяемые на лекции:</w:t>
      </w:r>
    </w:p>
    <w:p w14:paraId="3A8BE1BD" w14:textId="77777777" w:rsidR="004B51FE" w:rsidRDefault="004B51FE" w:rsidP="004B51F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дидактические (презентация),</w:t>
      </w:r>
    </w:p>
    <w:p w14:paraId="235FE083" w14:textId="77777777" w:rsidR="004B51FE" w:rsidRDefault="004B51FE" w:rsidP="004B51F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материально-технические (мультимедийный проектор и ноутбук).</w:t>
      </w:r>
    </w:p>
    <w:p w14:paraId="3034B4B1" w14:textId="77777777" w:rsidR="004B51FE" w:rsidRDefault="004B51FE" w:rsidP="004B51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104BF7E" w14:textId="77777777" w:rsidR="004B51FE" w:rsidRDefault="004B51FE" w:rsidP="004B5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Лекция №4. </w:t>
      </w:r>
    </w:p>
    <w:p w14:paraId="5E3332C4" w14:textId="77777777" w:rsidR="004B51FE" w:rsidRDefault="004B51FE" w:rsidP="004B51F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  <w:u w:val="single"/>
        </w:rPr>
        <w:t>Системные васкулиты.</w:t>
      </w:r>
    </w:p>
    <w:p w14:paraId="6D2F7BEA" w14:textId="77777777" w:rsidR="004B51FE" w:rsidRDefault="004B51FE" w:rsidP="004B5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B1C3BB" w14:textId="77777777" w:rsidR="004B51FE" w:rsidRDefault="004B51FE" w:rsidP="004B51F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системных  васкулитах, являющихся гетерогенной группой заболеваний, основным морфологическим признаком которых является воспаление сосудистой стенки, а спектр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клинических проявлений зависит от типа, размера, локализации поражённых сосудов и тяжести органной патологии, систематизировать знания о патогенезе и клинических проявлениях различных вариантов  патологии, классификационных критериях их, сформировать  подходы к диагностике и лечению с учётом новых данных.</w:t>
      </w:r>
    </w:p>
    <w:p w14:paraId="2BAEC35D" w14:textId="77777777" w:rsidR="004B51FE" w:rsidRDefault="004B51FE" w:rsidP="004B51F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A8985DF" w14:textId="77777777" w:rsidR="004B51FE" w:rsidRDefault="004B51FE" w:rsidP="004B51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лекции</w:t>
      </w:r>
      <w:r>
        <w:rPr>
          <w:rFonts w:ascii="Times New Roman" w:hAnsi="Times New Roman"/>
          <w:sz w:val="28"/>
          <w:szCs w:val="28"/>
        </w:rPr>
        <w:t>: В лекции даётся развёрнутое определение системных васкулитов и их классификация. Все они сгруппированы в зависимости от калибра преимущественного поражения сосудов и наличия АНЦА (</w:t>
      </w:r>
      <w:proofErr w:type="spellStart"/>
      <w:r>
        <w:rPr>
          <w:rFonts w:ascii="Times New Roman" w:hAnsi="Times New Roman"/>
          <w:sz w:val="28"/>
          <w:szCs w:val="28"/>
        </w:rPr>
        <w:t>антинейтрофильные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цитоплазматические антитела). Для 7 системных васкулитов </w:t>
      </w:r>
      <w:r>
        <w:rPr>
          <w:rFonts w:ascii="Times New Roman" w:hAnsi="Times New Roman"/>
          <w:sz w:val="28"/>
          <w:szCs w:val="28"/>
          <w:lang w:val="en-US"/>
        </w:rPr>
        <w:t>ACR</w:t>
      </w:r>
      <w:r>
        <w:rPr>
          <w:rFonts w:ascii="Times New Roman" w:hAnsi="Times New Roman"/>
          <w:sz w:val="28"/>
          <w:szCs w:val="28"/>
        </w:rPr>
        <w:t>опубликовала классификационные критерии.</w:t>
      </w:r>
    </w:p>
    <w:p w14:paraId="38E1B9F8" w14:textId="77777777" w:rsidR="004B51FE" w:rsidRDefault="004B51FE" w:rsidP="004B51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Разбираются классификационные критерии и клинические проявления наиболее часто встречающихся васкулитов. В лекции содержится много иллюстративного материала, демонстрирующих клинические проявления. С учётом патогенеза   </w:t>
      </w:r>
      <w:proofErr w:type="spellStart"/>
      <w:r>
        <w:rPr>
          <w:rFonts w:ascii="Times New Roman" w:hAnsi="Times New Roman"/>
          <w:sz w:val="28"/>
          <w:szCs w:val="28"/>
        </w:rPr>
        <w:t>цитостатики</w:t>
      </w:r>
      <w:proofErr w:type="spellEnd"/>
      <w:r>
        <w:rPr>
          <w:rFonts w:ascii="Times New Roman" w:hAnsi="Times New Roman"/>
          <w:sz w:val="28"/>
          <w:szCs w:val="28"/>
        </w:rPr>
        <w:t xml:space="preserve"> и глюкокортикоиды являются основными группами лекарственных средств. Лечение всегда назначают индивидуально в зависимости от клинических проявлений заболевания и типа васкулита.</w:t>
      </w:r>
    </w:p>
    <w:p w14:paraId="46A81F88" w14:textId="77777777" w:rsidR="004B51FE" w:rsidRDefault="004B51FE" w:rsidP="004B5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CE8657" w14:textId="77777777" w:rsidR="004B51FE" w:rsidRDefault="004B51FE" w:rsidP="004B51FE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333333"/>
          <w:sz w:val="28"/>
          <w:szCs w:val="28"/>
        </w:rPr>
        <w:t>информационная</w:t>
      </w:r>
    </w:p>
    <w:p w14:paraId="20047A98" w14:textId="77777777" w:rsidR="004B51FE" w:rsidRDefault="004B51FE" w:rsidP="004B51FE">
      <w:pPr>
        <w:spacing w:after="0" w:line="240" w:lineRule="auto"/>
        <w:ind w:firstLine="567"/>
        <w:jc w:val="both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Методы обучения, применяемые на лекции:</w:t>
      </w:r>
    </w:p>
    <w:p w14:paraId="66DFDB87" w14:textId="77777777" w:rsidR="004B51FE" w:rsidRDefault="004B51FE" w:rsidP="004B51F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дидактические (презентация),</w:t>
      </w:r>
    </w:p>
    <w:p w14:paraId="34F5C0BB" w14:textId="77777777" w:rsidR="004B51FE" w:rsidRDefault="004B51FE" w:rsidP="004B51F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материально-технические (мультимедийный проектор и ноутбук).</w:t>
      </w:r>
    </w:p>
    <w:p w14:paraId="52EF94FB" w14:textId="77777777" w:rsidR="004B51FE" w:rsidRDefault="004B51FE" w:rsidP="004B5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335339" w14:textId="77777777" w:rsidR="004B51FE" w:rsidRDefault="004B51FE" w:rsidP="004B51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80C9D14" w14:textId="77777777" w:rsidR="004B51FE" w:rsidRDefault="004B51FE" w:rsidP="004B51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№5</w:t>
      </w:r>
    </w:p>
    <w:p w14:paraId="46F2ED45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Боль в спине: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спондилоартриты, дифференциальная диагностика со спондилоартрозами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</w:p>
    <w:p w14:paraId="70854435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396A4C8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спондилоартритах и</w:t>
      </w:r>
      <w:r>
        <w:rPr>
          <w:rFonts w:ascii="Times New Roman" w:hAnsi="Times New Roman"/>
          <w:color w:val="000000"/>
          <w:sz w:val="28"/>
          <w:szCs w:val="28"/>
        </w:rPr>
        <w:t xml:space="preserve"> тактике ведения пациентов с этим заболеванием. </w:t>
      </w:r>
    </w:p>
    <w:p w14:paraId="053C6C7E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A1ADD76" w14:textId="77777777" w:rsidR="004B51FE" w:rsidRDefault="004B51FE" w:rsidP="004B51FE">
      <w:pPr>
        <w:tabs>
          <w:tab w:val="left" w:pos="567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>
        <w:rPr>
          <w:rFonts w:ascii="Times New Roman" w:hAnsi="Times New Roman"/>
          <w:color w:val="000000"/>
          <w:sz w:val="28"/>
          <w:szCs w:val="28"/>
        </w:rPr>
        <w:t>В лекции рассматриваются определение спондилоартритов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СпА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);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классификация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серонегативных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спондилоартритов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/>
          <w:bCs/>
          <w:color w:val="000000"/>
          <w:sz w:val="28"/>
          <w:szCs w:val="28"/>
        </w:rPr>
        <w:t>патогенетические механизмы спондилоартритов; общие признаки спондилоартритов</w:t>
      </w:r>
      <w:r>
        <w:rPr>
          <w:rFonts w:ascii="Times New Roman" w:hAnsi="Times New Roman"/>
          <w:color w:val="000000"/>
          <w:sz w:val="28"/>
          <w:szCs w:val="28"/>
        </w:rPr>
        <w:t xml:space="preserve">; диагностические критерии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СпА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критерии воспалительной боли в спине; дифференциальная диагностика спондилоартрита со спондилоартрозом; подробно рассмотрен вопрос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анкилозирующего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спондилита, реактивных артритов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псориатического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артрита; принципы формулирования клинического диагноза,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диагности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лечения и профилактики этих заболеваний. </w:t>
      </w:r>
    </w:p>
    <w:p w14:paraId="73AEE0D7" w14:textId="77777777" w:rsidR="004B51FE" w:rsidRDefault="004B51FE" w:rsidP="004B51FE">
      <w:pPr>
        <w:tabs>
          <w:tab w:val="left" w:pos="567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6F48461" w14:textId="77777777" w:rsidR="004B51FE" w:rsidRDefault="004B51FE" w:rsidP="004B51FE">
      <w:pPr>
        <w:spacing w:after="0" w:line="360" w:lineRule="auto"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14:paraId="3D8742D9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91C4EDC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(презентация);</w:t>
      </w:r>
    </w:p>
    <w:p w14:paraId="1E0A011A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материально-технические (мультимедийный проектор, ноутбук).</w:t>
      </w:r>
    </w:p>
    <w:p w14:paraId="00D8F83F" w14:textId="77777777" w:rsidR="004B51FE" w:rsidRDefault="004B51FE" w:rsidP="004B51F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1EB84C66" w14:textId="77777777" w:rsidR="004B51FE" w:rsidRDefault="004B51FE" w:rsidP="004B51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F57B1C9" w14:textId="77777777" w:rsidR="004B51FE" w:rsidRDefault="004B51FE" w:rsidP="004B51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№6.</w:t>
      </w:r>
    </w:p>
    <w:p w14:paraId="024C2B00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Основные синдромы и симптомы при функциональных и органических заболеваниях органов пищеварения. </w:t>
      </w:r>
    </w:p>
    <w:p w14:paraId="3F1A58F5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0D388CE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дифференциальной диагностике болезней органов пищеварения и</w:t>
      </w:r>
      <w:r>
        <w:rPr>
          <w:rFonts w:ascii="Times New Roman" w:hAnsi="Times New Roman"/>
          <w:color w:val="000000"/>
          <w:sz w:val="28"/>
          <w:szCs w:val="28"/>
        </w:rPr>
        <w:t xml:space="preserve"> тактике амбулаторного ведения пациентов с этими заболеваниями. </w:t>
      </w:r>
    </w:p>
    <w:p w14:paraId="7E343F2B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5684A09" w14:textId="77777777" w:rsidR="004B51FE" w:rsidRDefault="004B51FE" w:rsidP="004B51FE">
      <w:pPr>
        <w:tabs>
          <w:tab w:val="left" w:pos="567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>
        <w:rPr>
          <w:rFonts w:ascii="Times New Roman" w:hAnsi="Times New Roman"/>
          <w:color w:val="000000"/>
          <w:sz w:val="28"/>
          <w:szCs w:val="28"/>
        </w:rPr>
        <w:t>В лекции рассматриваются определения симптомов и синдромов при патологии органов пищеварения; заболевания, при которых данные синдромы (симптомы) встречаются; механизмы симптомов и синдромов при патологии органов пищеварения; данные анамнеза, необходимые для уточнения диагноза; другие клинические симптомы, с которыми данный синдром сочетается при предполагаемых заболеваниях; план исследований, которые следует использовать для уточнения диагноза; результаты обследований при предполагаемых заболеваниях; общие принципы лечения данного синдрома.</w:t>
      </w:r>
    </w:p>
    <w:p w14:paraId="7CED0705" w14:textId="77777777" w:rsidR="004B51FE" w:rsidRDefault="004B51FE" w:rsidP="004B51FE">
      <w:pPr>
        <w:spacing w:after="0" w:line="360" w:lineRule="auto"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14:paraId="2C333D29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4BE0890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(презентация);</w:t>
      </w:r>
    </w:p>
    <w:p w14:paraId="495B5EC5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 и ноутбук).</w:t>
      </w:r>
    </w:p>
    <w:p w14:paraId="514F78F7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0E08DEB" w14:textId="77777777" w:rsidR="004B51FE" w:rsidRDefault="004B51FE" w:rsidP="004B51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№7.</w:t>
      </w:r>
    </w:p>
    <w:p w14:paraId="71B169AD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Симптоматика мочевого и отечного синдромов. Алгоритм диагностики и лечения.</w:t>
      </w:r>
    </w:p>
    <w:p w14:paraId="3E30150C" w14:textId="77777777" w:rsidR="004B51FE" w:rsidRDefault="004B51FE" w:rsidP="004B51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55A4494C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дифференциальной диагностике основных симптомов мочевого и отечного синдромов и</w:t>
      </w:r>
      <w:r>
        <w:rPr>
          <w:rFonts w:ascii="Times New Roman" w:hAnsi="Times New Roman"/>
          <w:color w:val="000000"/>
          <w:sz w:val="28"/>
          <w:szCs w:val="28"/>
        </w:rPr>
        <w:t xml:space="preserve"> тактике амбулаторного ведения пациентов с этими заболеваниями. </w:t>
      </w:r>
    </w:p>
    <w:p w14:paraId="1A9CBD95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A21AFDC" w14:textId="77777777" w:rsidR="004B51FE" w:rsidRDefault="004B51FE" w:rsidP="004B51FE">
      <w:pPr>
        <w:tabs>
          <w:tab w:val="left" w:pos="567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>
        <w:rPr>
          <w:rFonts w:ascii="Times New Roman" w:hAnsi="Times New Roman"/>
          <w:color w:val="000000"/>
          <w:sz w:val="28"/>
          <w:szCs w:val="28"/>
        </w:rPr>
        <w:t>В лекции рассматриваются определения симптомов и синдромов при мочевом и отечном синдромах; заболевания, при которых данные синдромы (симптомы) встречаются; механизмы развития симптомов и синдромов; данные анамнеза, необходимые для уточнения диагноза; другие клинические симптомы, с которыми данный синдром сочетается при предполагаемых заболеваниях; план исследований, которые следует использовать для уточнения диагноза; результаты обследований при предполагаемых заболеваниях; общие принципы лечения данного синдрома.</w:t>
      </w:r>
    </w:p>
    <w:p w14:paraId="49643D46" w14:textId="77777777" w:rsidR="004B51FE" w:rsidRDefault="004B51FE" w:rsidP="004B51FE">
      <w:pPr>
        <w:tabs>
          <w:tab w:val="left" w:pos="567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58F82AB" w14:textId="77777777" w:rsidR="004B51FE" w:rsidRDefault="004B51FE" w:rsidP="004B51FE">
      <w:pPr>
        <w:spacing w:after="0" w:line="360" w:lineRule="auto"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14:paraId="0D94A49A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A7B708E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 (презентация);</w:t>
      </w:r>
    </w:p>
    <w:p w14:paraId="0C99AB71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 и ноутбук).</w:t>
      </w:r>
    </w:p>
    <w:p w14:paraId="7E52B5D6" w14:textId="77777777" w:rsidR="004B51FE" w:rsidRDefault="004B51FE" w:rsidP="004B51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616BDE4" w14:textId="77777777" w:rsidR="004B51FE" w:rsidRDefault="004B51FE" w:rsidP="004B51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17FA413" w14:textId="77777777" w:rsidR="004B51FE" w:rsidRDefault="004B51FE" w:rsidP="004B51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№8.</w:t>
      </w:r>
    </w:p>
    <w:p w14:paraId="48C65B59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u w:val="single"/>
        </w:rPr>
        <w:t>Нейроциркуляторная дистония и тактика ведения больных.</w:t>
      </w:r>
    </w:p>
    <w:p w14:paraId="7CAB3547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24"/>
        </w:rPr>
      </w:pPr>
    </w:p>
    <w:p w14:paraId="4F27DDBA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сформировать у обучающихся знания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нейроциркуляторной дистонии и тактике ведения пациентов с этим заболеванием. </w:t>
      </w:r>
    </w:p>
    <w:p w14:paraId="47720901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7CD03C6F" w14:textId="77777777" w:rsidR="004B51FE" w:rsidRDefault="004B51FE" w:rsidP="004B51FE">
      <w:pPr>
        <w:tabs>
          <w:tab w:val="left" w:pos="567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>
        <w:rPr>
          <w:rFonts w:ascii="Times New Roman" w:hAnsi="Times New Roman"/>
          <w:sz w:val="28"/>
          <w:szCs w:val="28"/>
        </w:rPr>
        <w:t xml:space="preserve">В лекции рассматриваются определение нейроциркуляторной дистонии (НЦД); классификация; клинические проявления в зависимости от типа НЦД и степени ее тяжести; дифференциальная диагностика с другими заболеваниями и расстройствами; диагностические критерии НЦД; принципы формулирования клинического диагноза; пароксизмальные вегетативные нарушения (кризы); лечение НЦД и вегетативных кризов; профилактика НЦД. </w:t>
      </w:r>
    </w:p>
    <w:p w14:paraId="5BAB5CB1" w14:textId="77777777" w:rsidR="004B51FE" w:rsidRDefault="004B51FE" w:rsidP="004B51FE">
      <w:pPr>
        <w:tabs>
          <w:tab w:val="left" w:pos="567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0FE191" w14:textId="77777777" w:rsidR="004B51FE" w:rsidRDefault="004B51FE" w:rsidP="004B51FE">
      <w:pPr>
        <w:spacing w:after="0" w:line="36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sz w:val="28"/>
          <w:szCs w:val="28"/>
        </w:rPr>
        <w:t>информационная.</w:t>
      </w:r>
    </w:p>
    <w:p w14:paraId="744D6DC3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spacing w:val="-4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978B5DE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дидактические (презентация);</w:t>
      </w:r>
    </w:p>
    <w:p w14:paraId="06E5F260" w14:textId="77777777" w:rsidR="004B51FE" w:rsidRDefault="004B51FE" w:rsidP="004B51F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материально-технические (мультимедийный проектор и ноутбук</w:t>
      </w:r>
    </w:p>
    <w:p w14:paraId="7D32406B" w14:textId="77777777" w:rsidR="001C154B" w:rsidRDefault="001C154B" w:rsidP="004B51F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1C154B" w:rsidSect="00D4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4B"/>
    <w:rsid w:val="000208C4"/>
    <w:rsid w:val="000242F0"/>
    <w:rsid w:val="0002513F"/>
    <w:rsid w:val="000300FC"/>
    <w:rsid w:val="00031213"/>
    <w:rsid w:val="00033AC1"/>
    <w:rsid w:val="00066F4B"/>
    <w:rsid w:val="00067E4E"/>
    <w:rsid w:val="00091F6C"/>
    <w:rsid w:val="00094028"/>
    <w:rsid w:val="000C7455"/>
    <w:rsid w:val="000D4E2D"/>
    <w:rsid w:val="00104915"/>
    <w:rsid w:val="00123468"/>
    <w:rsid w:val="001343ED"/>
    <w:rsid w:val="00137D7D"/>
    <w:rsid w:val="00153A2A"/>
    <w:rsid w:val="00154FA4"/>
    <w:rsid w:val="00156AA2"/>
    <w:rsid w:val="0016217A"/>
    <w:rsid w:val="001874C7"/>
    <w:rsid w:val="001A07E9"/>
    <w:rsid w:val="001C154B"/>
    <w:rsid w:val="001C1AA3"/>
    <w:rsid w:val="001C1E7A"/>
    <w:rsid w:val="001C3DF5"/>
    <w:rsid w:val="001C569C"/>
    <w:rsid w:val="001F71D9"/>
    <w:rsid w:val="00212E54"/>
    <w:rsid w:val="002167FC"/>
    <w:rsid w:val="00225C0F"/>
    <w:rsid w:val="00257940"/>
    <w:rsid w:val="00270086"/>
    <w:rsid w:val="002729EC"/>
    <w:rsid w:val="00285CA9"/>
    <w:rsid w:val="002906FE"/>
    <w:rsid w:val="002A4FF2"/>
    <w:rsid w:val="002B5868"/>
    <w:rsid w:val="002D49DE"/>
    <w:rsid w:val="003034A4"/>
    <w:rsid w:val="00306199"/>
    <w:rsid w:val="00327554"/>
    <w:rsid w:val="003374AC"/>
    <w:rsid w:val="00346674"/>
    <w:rsid w:val="00346BD2"/>
    <w:rsid w:val="00366059"/>
    <w:rsid w:val="003664AC"/>
    <w:rsid w:val="00367F16"/>
    <w:rsid w:val="00394C4D"/>
    <w:rsid w:val="003A3E4D"/>
    <w:rsid w:val="003B7394"/>
    <w:rsid w:val="003C09A2"/>
    <w:rsid w:val="003C60C1"/>
    <w:rsid w:val="003E4531"/>
    <w:rsid w:val="003E794F"/>
    <w:rsid w:val="004033D4"/>
    <w:rsid w:val="004056EC"/>
    <w:rsid w:val="00417D05"/>
    <w:rsid w:val="00422E26"/>
    <w:rsid w:val="00431B87"/>
    <w:rsid w:val="00431C8A"/>
    <w:rsid w:val="00432474"/>
    <w:rsid w:val="00437446"/>
    <w:rsid w:val="00442C30"/>
    <w:rsid w:val="00460E2F"/>
    <w:rsid w:val="00464F15"/>
    <w:rsid w:val="0047772C"/>
    <w:rsid w:val="004846A9"/>
    <w:rsid w:val="004854CF"/>
    <w:rsid w:val="004B51FE"/>
    <w:rsid w:val="004D1817"/>
    <w:rsid w:val="004E2818"/>
    <w:rsid w:val="004F00C4"/>
    <w:rsid w:val="004F0981"/>
    <w:rsid w:val="0051039D"/>
    <w:rsid w:val="005164CD"/>
    <w:rsid w:val="00516EF8"/>
    <w:rsid w:val="00530A16"/>
    <w:rsid w:val="00531FB3"/>
    <w:rsid w:val="00545A2B"/>
    <w:rsid w:val="00562EAA"/>
    <w:rsid w:val="00573D68"/>
    <w:rsid w:val="00583EC0"/>
    <w:rsid w:val="005A128A"/>
    <w:rsid w:val="00600836"/>
    <w:rsid w:val="00601612"/>
    <w:rsid w:val="00606F5A"/>
    <w:rsid w:val="00633604"/>
    <w:rsid w:val="00647859"/>
    <w:rsid w:val="0066104F"/>
    <w:rsid w:val="00673CB6"/>
    <w:rsid w:val="00674A32"/>
    <w:rsid w:val="006B096C"/>
    <w:rsid w:val="006D14D8"/>
    <w:rsid w:val="006E240B"/>
    <w:rsid w:val="00700A54"/>
    <w:rsid w:val="0070307C"/>
    <w:rsid w:val="007052BC"/>
    <w:rsid w:val="00735966"/>
    <w:rsid w:val="00737136"/>
    <w:rsid w:val="007455AF"/>
    <w:rsid w:val="007607DF"/>
    <w:rsid w:val="00762FE3"/>
    <w:rsid w:val="00764204"/>
    <w:rsid w:val="00767CC7"/>
    <w:rsid w:val="0077370A"/>
    <w:rsid w:val="00783DFA"/>
    <w:rsid w:val="00786421"/>
    <w:rsid w:val="00791BC4"/>
    <w:rsid w:val="007935D2"/>
    <w:rsid w:val="007D11B7"/>
    <w:rsid w:val="007D1D50"/>
    <w:rsid w:val="00801112"/>
    <w:rsid w:val="00817C35"/>
    <w:rsid w:val="00820265"/>
    <w:rsid w:val="00826347"/>
    <w:rsid w:val="0086306D"/>
    <w:rsid w:val="0087185A"/>
    <w:rsid w:val="008760FA"/>
    <w:rsid w:val="008875A7"/>
    <w:rsid w:val="00891784"/>
    <w:rsid w:val="008D5E66"/>
    <w:rsid w:val="008E4EE7"/>
    <w:rsid w:val="008E6112"/>
    <w:rsid w:val="00905F79"/>
    <w:rsid w:val="00916BB1"/>
    <w:rsid w:val="00917F21"/>
    <w:rsid w:val="00953CAD"/>
    <w:rsid w:val="009574AA"/>
    <w:rsid w:val="0096437A"/>
    <w:rsid w:val="009A12A3"/>
    <w:rsid w:val="009D4475"/>
    <w:rsid w:val="009F2509"/>
    <w:rsid w:val="00A01E77"/>
    <w:rsid w:val="00A21E31"/>
    <w:rsid w:val="00A233DE"/>
    <w:rsid w:val="00A426F2"/>
    <w:rsid w:val="00A45919"/>
    <w:rsid w:val="00A46ADA"/>
    <w:rsid w:val="00A63E5E"/>
    <w:rsid w:val="00A76037"/>
    <w:rsid w:val="00AA13F8"/>
    <w:rsid w:val="00AA24C0"/>
    <w:rsid w:val="00AA5B26"/>
    <w:rsid w:val="00AB2F3A"/>
    <w:rsid w:val="00AB484A"/>
    <w:rsid w:val="00AD33BF"/>
    <w:rsid w:val="00AD454E"/>
    <w:rsid w:val="00B261AC"/>
    <w:rsid w:val="00B261D3"/>
    <w:rsid w:val="00B266F1"/>
    <w:rsid w:val="00B273D2"/>
    <w:rsid w:val="00B316DD"/>
    <w:rsid w:val="00B35218"/>
    <w:rsid w:val="00B60485"/>
    <w:rsid w:val="00B73F20"/>
    <w:rsid w:val="00B83BA8"/>
    <w:rsid w:val="00BA7AC2"/>
    <w:rsid w:val="00BB63E7"/>
    <w:rsid w:val="00BF4AF9"/>
    <w:rsid w:val="00C01F6F"/>
    <w:rsid w:val="00C10EDA"/>
    <w:rsid w:val="00C112EB"/>
    <w:rsid w:val="00C20E32"/>
    <w:rsid w:val="00C22082"/>
    <w:rsid w:val="00C40665"/>
    <w:rsid w:val="00C45F14"/>
    <w:rsid w:val="00C5038C"/>
    <w:rsid w:val="00C95E39"/>
    <w:rsid w:val="00CD1074"/>
    <w:rsid w:val="00CD2F81"/>
    <w:rsid w:val="00D04172"/>
    <w:rsid w:val="00D40D80"/>
    <w:rsid w:val="00D50DE2"/>
    <w:rsid w:val="00D52ED6"/>
    <w:rsid w:val="00D53B95"/>
    <w:rsid w:val="00D74E18"/>
    <w:rsid w:val="00DA4C57"/>
    <w:rsid w:val="00DD4D35"/>
    <w:rsid w:val="00DF1BC5"/>
    <w:rsid w:val="00E11AD7"/>
    <w:rsid w:val="00E42D49"/>
    <w:rsid w:val="00E503F6"/>
    <w:rsid w:val="00E50FA2"/>
    <w:rsid w:val="00E52674"/>
    <w:rsid w:val="00E6212C"/>
    <w:rsid w:val="00E91B26"/>
    <w:rsid w:val="00E93049"/>
    <w:rsid w:val="00E94CCB"/>
    <w:rsid w:val="00E96895"/>
    <w:rsid w:val="00EB1089"/>
    <w:rsid w:val="00ED2B72"/>
    <w:rsid w:val="00EE4C93"/>
    <w:rsid w:val="00F15B9D"/>
    <w:rsid w:val="00F17030"/>
    <w:rsid w:val="00F369B4"/>
    <w:rsid w:val="00F65CCB"/>
    <w:rsid w:val="00F7484C"/>
    <w:rsid w:val="00F81761"/>
    <w:rsid w:val="00F90B0A"/>
    <w:rsid w:val="00F9409E"/>
    <w:rsid w:val="00F96936"/>
    <w:rsid w:val="00FB1AB5"/>
    <w:rsid w:val="00FB3ED6"/>
    <w:rsid w:val="00FB6FA2"/>
    <w:rsid w:val="00FC1A30"/>
    <w:rsid w:val="00FD102F"/>
    <w:rsid w:val="00FD60C1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A6B9"/>
  <w15:docId w15:val="{1F33A1BC-6D1A-4A7C-9805-CDF5C01C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5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5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1881</Words>
  <Characters>10724</Characters>
  <Application>Microsoft Office Word</Application>
  <DocSecurity>0</DocSecurity>
  <Lines>89</Lines>
  <Paragraphs>25</Paragraphs>
  <ScaleCrop>false</ScaleCrop>
  <Company/>
  <LinksUpToDate>false</LinksUpToDate>
  <CharactersWithSpaces>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Сизова</cp:lastModifiedBy>
  <cp:revision>2</cp:revision>
  <dcterms:created xsi:type="dcterms:W3CDTF">2022-03-02T11:54:00Z</dcterms:created>
  <dcterms:modified xsi:type="dcterms:W3CDTF">2022-03-02T11:54:00Z</dcterms:modified>
</cp:coreProperties>
</file>