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13665E" w:rsidRPr="0013665E" w:rsidRDefault="0013665E" w:rsidP="0013665E">
      <w:pPr>
        <w:jc w:val="center"/>
        <w:rPr>
          <w:b/>
          <w:sz w:val="28"/>
          <w:szCs w:val="28"/>
          <w:u w:val="single"/>
        </w:rPr>
      </w:pPr>
      <w:r w:rsidRPr="0013665E">
        <w:rPr>
          <w:b/>
          <w:sz w:val="28"/>
          <w:szCs w:val="28"/>
          <w:u w:val="single"/>
        </w:rPr>
        <w:t>ПЕДИАТРИЯ</w:t>
      </w:r>
    </w:p>
    <w:p w:rsidR="0013665E" w:rsidRPr="0013665E" w:rsidRDefault="0013665E" w:rsidP="0013665E">
      <w:pPr>
        <w:jc w:val="center"/>
        <w:rPr>
          <w:sz w:val="28"/>
        </w:rPr>
      </w:pPr>
    </w:p>
    <w:p w:rsidR="0013665E" w:rsidRPr="0013665E" w:rsidRDefault="0013665E" w:rsidP="0013665E">
      <w:pPr>
        <w:jc w:val="center"/>
        <w:rPr>
          <w:sz w:val="28"/>
        </w:rPr>
      </w:pPr>
    </w:p>
    <w:p w:rsidR="0013665E" w:rsidRPr="0013665E" w:rsidRDefault="0013665E" w:rsidP="0013665E">
      <w:pPr>
        <w:jc w:val="center"/>
        <w:rPr>
          <w:sz w:val="28"/>
        </w:rPr>
      </w:pPr>
      <w:r w:rsidRPr="0013665E">
        <w:rPr>
          <w:sz w:val="28"/>
        </w:rPr>
        <w:t>по специальности</w:t>
      </w:r>
    </w:p>
    <w:p w:rsidR="00D2549E" w:rsidRDefault="00D2549E" w:rsidP="00D2549E">
      <w:pPr>
        <w:jc w:val="center"/>
        <w:rPr>
          <w:b/>
          <w:sz w:val="28"/>
          <w:u w:val="single"/>
        </w:rPr>
      </w:pPr>
    </w:p>
    <w:p w:rsidR="00D2549E" w:rsidRPr="00D2549E" w:rsidRDefault="00D2549E" w:rsidP="00D2549E">
      <w:pPr>
        <w:jc w:val="center"/>
        <w:rPr>
          <w:b/>
          <w:sz w:val="28"/>
          <w:u w:val="single"/>
        </w:rPr>
      </w:pPr>
      <w:r w:rsidRPr="00D2549E">
        <w:rPr>
          <w:b/>
          <w:sz w:val="28"/>
          <w:u w:val="single"/>
        </w:rPr>
        <w:t xml:space="preserve">31.08.37 КЛИНИЧЕСКАЯ ФАРМАКОЛОГИЯ 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 xml:space="preserve">зования по специальности </w:t>
      </w:r>
      <w:r w:rsidR="00722793" w:rsidRPr="00722793">
        <w:rPr>
          <w:color w:val="000000"/>
          <w:sz w:val="24"/>
          <w:szCs w:val="24"/>
        </w:rPr>
        <w:t>31.08.37 «КЛИНИЧЕСКАЯ ФАРМАКОЛОГИЯ</w:t>
      </w:r>
      <w:bookmarkStart w:id="0" w:name="_GoBack"/>
      <w:bookmarkEnd w:id="0"/>
      <w:r w:rsidRPr="00A25EE3">
        <w:rPr>
          <w:color w:val="000000"/>
          <w:sz w:val="24"/>
          <w:szCs w:val="24"/>
        </w:rPr>
        <w:t>», утвержденной уч</w:t>
      </w:r>
      <w:r w:rsidRPr="00A25EE3">
        <w:rPr>
          <w:color w:val="000000"/>
          <w:sz w:val="24"/>
          <w:szCs w:val="24"/>
        </w:rPr>
        <w:t>е</w:t>
      </w:r>
      <w:r w:rsidRPr="00A25EE3">
        <w:rPr>
          <w:color w:val="000000"/>
          <w:sz w:val="24"/>
          <w:szCs w:val="24"/>
        </w:rPr>
        <w:t>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052C9D" w:rsidRPr="00052C9D" w:rsidRDefault="00052C9D" w:rsidP="00052C9D">
      <w:pPr>
        <w:ind w:firstLine="709"/>
        <w:jc w:val="center"/>
        <w:rPr>
          <w:color w:val="000000"/>
          <w:sz w:val="24"/>
          <w:szCs w:val="24"/>
        </w:rPr>
      </w:pPr>
      <w:r w:rsidRPr="00052C9D">
        <w:rPr>
          <w:color w:val="000000"/>
          <w:sz w:val="24"/>
          <w:szCs w:val="24"/>
        </w:rPr>
        <w:t>протокол №11 от 22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856"/>
        <w:gridCol w:w="2928"/>
        <w:gridCol w:w="2172"/>
        <w:gridCol w:w="2000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D2549E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D2549E" w:rsidRPr="00D2549E">
              <w:rPr>
                <w:sz w:val="26"/>
                <w:szCs w:val="26"/>
              </w:rPr>
              <w:t>Антиаритмич</w:t>
            </w:r>
            <w:r w:rsidR="00D2549E" w:rsidRPr="00D2549E">
              <w:rPr>
                <w:sz w:val="26"/>
                <w:szCs w:val="26"/>
              </w:rPr>
              <w:t>е</w:t>
            </w:r>
            <w:r w:rsidR="00D2549E" w:rsidRPr="00D2549E">
              <w:rPr>
                <w:sz w:val="26"/>
                <w:szCs w:val="26"/>
              </w:rPr>
              <w:t>ские препараты в пед</w:t>
            </w:r>
            <w:r w:rsidR="00D2549E" w:rsidRPr="00D2549E">
              <w:rPr>
                <w:sz w:val="26"/>
                <w:szCs w:val="26"/>
              </w:rPr>
              <w:t>и</w:t>
            </w:r>
            <w:r w:rsidR="00D2549E" w:rsidRPr="00D2549E">
              <w:rPr>
                <w:sz w:val="26"/>
                <w:szCs w:val="26"/>
              </w:rPr>
              <w:t>атрии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D2549E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D2549E" w:rsidRPr="00D2549E">
              <w:rPr>
                <w:sz w:val="26"/>
                <w:szCs w:val="26"/>
              </w:rPr>
              <w:t>Неотложные с</w:t>
            </w:r>
            <w:r w:rsidR="00D2549E" w:rsidRPr="00D2549E">
              <w:rPr>
                <w:sz w:val="26"/>
                <w:szCs w:val="26"/>
              </w:rPr>
              <w:t>о</w:t>
            </w:r>
            <w:r w:rsidR="00D2549E" w:rsidRPr="00D2549E">
              <w:rPr>
                <w:sz w:val="26"/>
                <w:szCs w:val="26"/>
              </w:rPr>
              <w:t xml:space="preserve">стояния в педиатрии. Оказание помощи на </w:t>
            </w:r>
            <w:proofErr w:type="spellStart"/>
            <w:r w:rsidR="00D2549E" w:rsidRPr="00D2549E">
              <w:rPr>
                <w:sz w:val="26"/>
                <w:szCs w:val="26"/>
              </w:rPr>
              <w:t>догоспитальном</w:t>
            </w:r>
            <w:proofErr w:type="spellEnd"/>
            <w:r w:rsidR="00D2549E" w:rsidRPr="00D2549E">
              <w:rPr>
                <w:sz w:val="26"/>
                <w:szCs w:val="26"/>
              </w:rPr>
              <w:t xml:space="preserve"> этапе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D2549E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D2549E" w:rsidRPr="00D2549E">
              <w:rPr>
                <w:sz w:val="26"/>
                <w:szCs w:val="26"/>
              </w:rPr>
              <w:t>Антибиотикот</w:t>
            </w:r>
            <w:r w:rsidR="00D2549E" w:rsidRPr="00D2549E">
              <w:rPr>
                <w:sz w:val="26"/>
                <w:szCs w:val="26"/>
              </w:rPr>
              <w:t>е</w:t>
            </w:r>
            <w:r w:rsidR="00D2549E" w:rsidRPr="00D2549E">
              <w:rPr>
                <w:sz w:val="26"/>
                <w:szCs w:val="26"/>
              </w:rPr>
              <w:t>рапия в педиатрии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D2549E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="00052C9D">
              <w:rPr>
                <w:sz w:val="26"/>
                <w:szCs w:val="26"/>
              </w:rPr>
              <w:t>«</w:t>
            </w:r>
            <w:r w:rsidR="00D2549E" w:rsidRPr="00D2549E">
              <w:rPr>
                <w:sz w:val="26"/>
                <w:szCs w:val="26"/>
              </w:rPr>
              <w:t>Витамины и микроэлементы в п</w:t>
            </w:r>
            <w:r w:rsidR="00D2549E" w:rsidRPr="00D2549E">
              <w:rPr>
                <w:sz w:val="26"/>
                <w:szCs w:val="26"/>
              </w:rPr>
              <w:t>е</w:t>
            </w:r>
            <w:r w:rsidR="00D2549E" w:rsidRPr="00D2549E">
              <w:rPr>
                <w:sz w:val="26"/>
                <w:szCs w:val="26"/>
              </w:rPr>
              <w:t>диатрии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lastRenderedPageBreak/>
              <w:t>тернет – официальные сайты профессионал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ных ассоциаций – ра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делы клинических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>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 xml:space="preserve">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</w:t>
      </w:r>
      <w:r w:rsidRPr="006E062D">
        <w:rPr>
          <w:color w:val="000000"/>
          <w:sz w:val="28"/>
          <w:szCs w:val="28"/>
        </w:rPr>
        <w:lastRenderedPageBreak/>
        <w:t xml:space="preserve">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lastRenderedPageBreak/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F8" w:rsidRDefault="00FF0CF8" w:rsidP="00FD5B6B">
      <w:r>
        <w:separator/>
      </w:r>
    </w:p>
  </w:endnote>
  <w:endnote w:type="continuationSeparator" w:id="0">
    <w:p w:rsidR="00FF0CF8" w:rsidRDefault="00FF0CF8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E3" w:rsidRDefault="00A25EE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22793">
      <w:rPr>
        <w:noProof/>
      </w:rPr>
      <w:t>2</w:t>
    </w:r>
    <w:r>
      <w:fldChar w:fldCharType="end"/>
    </w:r>
  </w:p>
  <w:p w:rsidR="00A25EE3" w:rsidRDefault="00A25E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F8" w:rsidRDefault="00FF0CF8" w:rsidP="00FD5B6B">
      <w:r>
        <w:separator/>
      </w:r>
    </w:p>
  </w:footnote>
  <w:footnote w:type="continuationSeparator" w:id="0">
    <w:p w:rsidR="00FF0CF8" w:rsidRDefault="00FF0CF8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52C9D"/>
    <w:rsid w:val="00083C34"/>
    <w:rsid w:val="000931E3"/>
    <w:rsid w:val="0013665E"/>
    <w:rsid w:val="00177287"/>
    <w:rsid w:val="001F5EE1"/>
    <w:rsid w:val="002418CE"/>
    <w:rsid w:val="0026698D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22793"/>
    <w:rsid w:val="00742208"/>
    <w:rsid w:val="00755609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F1CD1"/>
    <w:rsid w:val="00C35B2E"/>
    <w:rsid w:val="00C83AB7"/>
    <w:rsid w:val="00D06B87"/>
    <w:rsid w:val="00D2549E"/>
    <w:rsid w:val="00D33524"/>
    <w:rsid w:val="00D35869"/>
    <w:rsid w:val="00D471E6"/>
    <w:rsid w:val="00E57C66"/>
    <w:rsid w:val="00F0689E"/>
    <w:rsid w:val="00F44E53"/>
    <w:rsid w:val="00F5136B"/>
    <w:rsid w:val="00F55788"/>
    <w:rsid w:val="00F8248C"/>
    <w:rsid w:val="00F8739C"/>
    <w:rsid w:val="00F922E9"/>
    <w:rsid w:val="00FB36A4"/>
    <w:rsid w:val="00FD34ED"/>
    <w:rsid w:val="00FD5B6B"/>
    <w:rsid w:val="00FF0CF8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Кафедра</cp:lastModifiedBy>
  <cp:revision>12</cp:revision>
  <dcterms:created xsi:type="dcterms:W3CDTF">2019-02-04T05:01:00Z</dcterms:created>
  <dcterms:modified xsi:type="dcterms:W3CDTF">2019-06-07T06:05:00Z</dcterms:modified>
</cp:coreProperties>
</file>