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80" w:rsidRPr="00E3335C" w:rsidRDefault="00A91580" w:rsidP="00E3335C">
      <w:pPr>
        <w:ind w:firstLine="709"/>
        <w:jc w:val="center"/>
        <w:rPr>
          <w:sz w:val="28"/>
          <w:szCs w:val="28"/>
        </w:rPr>
      </w:pPr>
      <w:r w:rsidRPr="00E3335C">
        <w:rPr>
          <w:sz w:val="28"/>
          <w:szCs w:val="28"/>
        </w:rPr>
        <w:t xml:space="preserve">федеральное государственное бюджетное образовательное учреждение </w:t>
      </w:r>
    </w:p>
    <w:p w:rsidR="00A91580" w:rsidRPr="00E3335C" w:rsidRDefault="00A91580" w:rsidP="00E3335C">
      <w:pPr>
        <w:ind w:firstLine="709"/>
        <w:jc w:val="center"/>
        <w:rPr>
          <w:sz w:val="28"/>
          <w:szCs w:val="28"/>
        </w:rPr>
      </w:pPr>
      <w:r w:rsidRPr="00E3335C">
        <w:rPr>
          <w:sz w:val="28"/>
          <w:szCs w:val="28"/>
        </w:rPr>
        <w:t>высшего образования</w:t>
      </w:r>
    </w:p>
    <w:p w:rsidR="00A91580" w:rsidRPr="00E3335C" w:rsidRDefault="00A91580" w:rsidP="00E3335C">
      <w:pPr>
        <w:ind w:firstLine="709"/>
        <w:jc w:val="center"/>
        <w:rPr>
          <w:sz w:val="28"/>
          <w:szCs w:val="28"/>
        </w:rPr>
      </w:pPr>
      <w:r w:rsidRPr="00E3335C">
        <w:rPr>
          <w:sz w:val="28"/>
          <w:szCs w:val="28"/>
        </w:rPr>
        <w:t>«Оренбургский государственный медицинский университет»</w:t>
      </w:r>
    </w:p>
    <w:p w:rsidR="00A91580" w:rsidRPr="00E3335C" w:rsidRDefault="00A91580" w:rsidP="00E3335C">
      <w:pPr>
        <w:ind w:firstLine="709"/>
        <w:jc w:val="center"/>
        <w:rPr>
          <w:sz w:val="28"/>
          <w:szCs w:val="28"/>
        </w:rPr>
      </w:pPr>
      <w:r w:rsidRPr="00E3335C">
        <w:rPr>
          <w:sz w:val="28"/>
          <w:szCs w:val="28"/>
        </w:rPr>
        <w:t>Министерства здравоохранения Российской Федерации</w:t>
      </w: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A91580" w:rsidRPr="00E3335C" w:rsidRDefault="00A91580" w:rsidP="00E3335C">
      <w:pPr>
        <w:ind w:firstLine="709"/>
        <w:jc w:val="center"/>
        <w:rPr>
          <w:b/>
          <w:sz w:val="28"/>
          <w:szCs w:val="28"/>
        </w:rPr>
      </w:pPr>
    </w:p>
    <w:p w:rsidR="00B97CC4" w:rsidRPr="00E3335C" w:rsidRDefault="00B97CC4" w:rsidP="00E3335C">
      <w:pPr>
        <w:jc w:val="center"/>
        <w:rPr>
          <w:b/>
          <w:color w:val="000000"/>
          <w:sz w:val="28"/>
          <w:szCs w:val="28"/>
        </w:rPr>
      </w:pPr>
      <w:r w:rsidRPr="00E3335C">
        <w:rPr>
          <w:b/>
          <w:color w:val="000000"/>
          <w:sz w:val="28"/>
          <w:szCs w:val="28"/>
        </w:rPr>
        <w:t>ФОНД ОЦЕНОЧНЫХ СРЕДСТВ</w:t>
      </w:r>
    </w:p>
    <w:p w:rsidR="00B97CC4" w:rsidRPr="00E3335C" w:rsidRDefault="00B97CC4" w:rsidP="00E3335C">
      <w:pPr>
        <w:ind w:firstLine="709"/>
        <w:jc w:val="center"/>
        <w:rPr>
          <w:b/>
          <w:color w:val="000000"/>
          <w:sz w:val="28"/>
          <w:szCs w:val="28"/>
        </w:rPr>
      </w:pPr>
    </w:p>
    <w:p w:rsidR="00B97CC4" w:rsidRPr="00E3335C" w:rsidRDefault="00B97CC4" w:rsidP="00E3335C">
      <w:pPr>
        <w:ind w:firstLine="709"/>
        <w:jc w:val="center"/>
        <w:rPr>
          <w:b/>
          <w:color w:val="000000"/>
          <w:sz w:val="28"/>
          <w:szCs w:val="28"/>
        </w:rPr>
      </w:pPr>
      <w:r w:rsidRPr="00E3335C">
        <w:rPr>
          <w:b/>
          <w:color w:val="000000"/>
          <w:sz w:val="28"/>
          <w:szCs w:val="28"/>
        </w:rPr>
        <w:t xml:space="preserve">ДЛЯ ПРОВЕДЕНИЯ ТЕКУЩЕГО </w:t>
      </w:r>
    </w:p>
    <w:p w:rsidR="00B97CC4" w:rsidRPr="00E3335C" w:rsidRDefault="00B97CC4" w:rsidP="00E3335C">
      <w:pPr>
        <w:ind w:firstLine="709"/>
        <w:jc w:val="center"/>
        <w:rPr>
          <w:b/>
          <w:color w:val="000000"/>
          <w:sz w:val="28"/>
          <w:szCs w:val="28"/>
        </w:rPr>
      </w:pPr>
      <w:r w:rsidRPr="00E3335C">
        <w:rPr>
          <w:b/>
          <w:color w:val="000000"/>
          <w:sz w:val="28"/>
          <w:szCs w:val="28"/>
        </w:rPr>
        <w:t xml:space="preserve">КОНТРОЛЯ УСПЕВАЕМОСТИ И ПРОМЕЖУТОЧНОЙ АТТЕСТАЦИИ </w:t>
      </w:r>
    </w:p>
    <w:p w:rsidR="00B97CC4" w:rsidRPr="00E3335C" w:rsidRDefault="00B97CC4" w:rsidP="00E3335C">
      <w:pPr>
        <w:ind w:firstLine="709"/>
        <w:jc w:val="center"/>
        <w:rPr>
          <w:b/>
          <w:color w:val="000000"/>
          <w:sz w:val="28"/>
          <w:szCs w:val="28"/>
        </w:rPr>
      </w:pPr>
      <w:proofErr w:type="gramStart"/>
      <w:r w:rsidRPr="00E3335C">
        <w:rPr>
          <w:b/>
          <w:color w:val="000000"/>
          <w:sz w:val="28"/>
          <w:szCs w:val="28"/>
        </w:rPr>
        <w:t>ОБУЧАЮЩИХСЯ</w:t>
      </w:r>
      <w:proofErr w:type="gramEnd"/>
      <w:r w:rsidRPr="00E3335C">
        <w:rPr>
          <w:b/>
          <w:color w:val="000000"/>
          <w:sz w:val="28"/>
          <w:szCs w:val="28"/>
        </w:rPr>
        <w:t xml:space="preserve"> ПО ДИСЦИПЛИНЕ</w:t>
      </w:r>
    </w:p>
    <w:p w:rsidR="00A91580" w:rsidRPr="00E3335C" w:rsidRDefault="00A91580" w:rsidP="00E3335C">
      <w:pPr>
        <w:rPr>
          <w:sz w:val="28"/>
          <w:szCs w:val="28"/>
        </w:rPr>
      </w:pPr>
    </w:p>
    <w:p w:rsidR="00A91580" w:rsidRPr="00E3335C" w:rsidRDefault="00A91580" w:rsidP="00E3335C">
      <w:pPr>
        <w:ind w:firstLine="709"/>
        <w:jc w:val="center"/>
        <w:rPr>
          <w:b/>
          <w:sz w:val="28"/>
          <w:szCs w:val="28"/>
        </w:rPr>
      </w:pPr>
      <w:r w:rsidRPr="00E3335C">
        <w:rPr>
          <w:b/>
          <w:sz w:val="28"/>
          <w:szCs w:val="28"/>
          <w:u w:val="single"/>
        </w:rPr>
        <w:t>ПЕДАГОГИКА</w:t>
      </w:r>
    </w:p>
    <w:p w:rsidR="00A91580" w:rsidRPr="00E3335C" w:rsidRDefault="00A91580" w:rsidP="00E3335C">
      <w:pPr>
        <w:rPr>
          <w:sz w:val="28"/>
          <w:szCs w:val="28"/>
        </w:rPr>
      </w:pPr>
    </w:p>
    <w:p w:rsidR="00BD4CCA" w:rsidRPr="00E3335C" w:rsidRDefault="00A91580" w:rsidP="00E3335C">
      <w:pPr>
        <w:ind w:firstLine="709"/>
        <w:jc w:val="center"/>
        <w:rPr>
          <w:sz w:val="28"/>
          <w:szCs w:val="28"/>
        </w:rPr>
      </w:pPr>
      <w:r w:rsidRPr="00E3335C">
        <w:rPr>
          <w:sz w:val="28"/>
          <w:szCs w:val="28"/>
        </w:rPr>
        <w:t xml:space="preserve">по направлению подготовки (специальности) </w:t>
      </w:r>
      <w:r w:rsidR="002F0021" w:rsidRPr="00E3335C">
        <w:rPr>
          <w:sz w:val="28"/>
          <w:szCs w:val="28"/>
        </w:rPr>
        <w:t>ординат</w:t>
      </w:r>
    </w:p>
    <w:p w:rsidR="002F0021" w:rsidRPr="00105FE8" w:rsidRDefault="005161A2" w:rsidP="00E3335C">
      <w:pPr>
        <w:jc w:val="center"/>
        <w:rPr>
          <w:b/>
          <w:sz w:val="28"/>
          <w:szCs w:val="28"/>
          <w:highlight w:val="yellow"/>
          <w:u w:val="single"/>
        </w:rPr>
      </w:pPr>
      <w:r w:rsidRPr="00105FE8">
        <w:rPr>
          <w:sz w:val="28"/>
          <w:szCs w:val="28"/>
          <w:u w:val="single"/>
        </w:rPr>
        <w:t>31.08.20 Психиатрия</w:t>
      </w:r>
    </w:p>
    <w:p w:rsidR="00BD4CCA" w:rsidRPr="00105FE8" w:rsidRDefault="00BD4CCA" w:rsidP="00E3335C">
      <w:pPr>
        <w:ind w:firstLine="709"/>
        <w:jc w:val="center"/>
        <w:rPr>
          <w:sz w:val="28"/>
          <w:szCs w:val="28"/>
          <w:u w:val="single"/>
        </w:rPr>
      </w:pPr>
    </w:p>
    <w:p w:rsidR="00746DFC" w:rsidRPr="00E3335C" w:rsidRDefault="00746DFC" w:rsidP="00E3335C">
      <w:pPr>
        <w:rPr>
          <w:sz w:val="28"/>
          <w:szCs w:val="28"/>
          <w:highlight w:val="yellow"/>
        </w:rPr>
      </w:pPr>
    </w:p>
    <w:p w:rsidR="00746DFC" w:rsidRPr="00E3335C" w:rsidRDefault="00746DFC" w:rsidP="00E3335C">
      <w:pPr>
        <w:jc w:val="center"/>
        <w:rPr>
          <w:sz w:val="28"/>
          <w:szCs w:val="28"/>
          <w:highlight w:val="yellow"/>
        </w:rPr>
      </w:pPr>
    </w:p>
    <w:p w:rsidR="0059264E" w:rsidRPr="00E3335C" w:rsidRDefault="0059264E" w:rsidP="00E3335C">
      <w:pPr>
        <w:jc w:val="center"/>
        <w:rPr>
          <w:sz w:val="28"/>
          <w:szCs w:val="28"/>
          <w:highlight w:val="yellow"/>
        </w:rPr>
      </w:pPr>
    </w:p>
    <w:p w:rsidR="00566463" w:rsidRPr="00E3335C" w:rsidRDefault="00566463" w:rsidP="00E3335C">
      <w:pPr>
        <w:jc w:val="center"/>
        <w:rPr>
          <w:sz w:val="28"/>
          <w:szCs w:val="28"/>
          <w:highlight w:val="yellow"/>
        </w:rPr>
      </w:pPr>
    </w:p>
    <w:p w:rsidR="00566463" w:rsidRPr="00E3335C" w:rsidRDefault="00566463" w:rsidP="00E3335C">
      <w:pPr>
        <w:jc w:val="center"/>
        <w:rPr>
          <w:sz w:val="28"/>
          <w:szCs w:val="28"/>
        </w:rPr>
      </w:pPr>
    </w:p>
    <w:p w:rsidR="00C13934" w:rsidRPr="00E3335C" w:rsidRDefault="00E62D65" w:rsidP="00E3335C">
      <w:pPr>
        <w:jc w:val="center"/>
        <w:rPr>
          <w:sz w:val="28"/>
          <w:szCs w:val="28"/>
          <w:highlight w:val="yellow"/>
        </w:rPr>
      </w:pPr>
      <w:r w:rsidRPr="00E3335C">
        <w:rPr>
          <w:sz w:val="28"/>
          <w:szCs w:val="28"/>
        </w:rPr>
        <w:t xml:space="preserve"> </w:t>
      </w:r>
    </w:p>
    <w:p w:rsidR="00E62D65" w:rsidRPr="00E3335C" w:rsidRDefault="00E62D65" w:rsidP="00E3335C">
      <w:pPr>
        <w:jc w:val="center"/>
        <w:rPr>
          <w:sz w:val="28"/>
          <w:szCs w:val="28"/>
          <w:highlight w:val="yellow"/>
        </w:rPr>
      </w:pPr>
    </w:p>
    <w:p w:rsidR="00A91580" w:rsidRPr="00E3335C" w:rsidRDefault="00A91580" w:rsidP="00105FE8">
      <w:pPr>
        <w:rPr>
          <w:sz w:val="28"/>
          <w:szCs w:val="28"/>
        </w:rPr>
      </w:pPr>
    </w:p>
    <w:p w:rsidR="00A91580" w:rsidRPr="00E3335C" w:rsidRDefault="00A91580" w:rsidP="00E3335C">
      <w:pPr>
        <w:rPr>
          <w:sz w:val="28"/>
          <w:szCs w:val="28"/>
        </w:rPr>
      </w:pPr>
    </w:p>
    <w:p w:rsidR="00A91580" w:rsidRPr="00105FE8" w:rsidRDefault="00A91580" w:rsidP="00E3335C">
      <w:pPr>
        <w:ind w:firstLine="709"/>
        <w:jc w:val="center"/>
        <w:rPr>
          <w:color w:val="000000"/>
          <w:sz w:val="28"/>
          <w:szCs w:val="28"/>
        </w:rPr>
      </w:pPr>
      <w:r w:rsidRPr="00105FE8">
        <w:rPr>
          <w:color w:val="000000"/>
          <w:sz w:val="28"/>
          <w:szCs w:val="28"/>
        </w:rPr>
        <w:t xml:space="preserve">Является частью основной профессиональной образовательной программы высшего образования </w:t>
      </w:r>
    </w:p>
    <w:p w:rsidR="00FB7D81" w:rsidRPr="00105FE8" w:rsidRDefault="005161A2" w:rsidP="00E3335C">
      <w:pPr>
        <w:jc w:val="center"/>
        <w:rPr>
          <w:b/>
          <w:sz w:val="28"/>
          <w:szCs w:val="28"/>
          <w:highlight w:val="yellow"/>
        </w:rPr>
      </w:pPr>
      <w:r w:rsidRPr="00105FE8">
        <w:rPr>
          <w:sz w:val="28"/>
          <w:szCs w:val="28"/>
          <w:u w:val="single"/>
        </w:rPr>
        <w:t>31.08.20</w:t>
      </w:r>
      <w:r w:rsidRPr="00105FE8">
        <w:rPr>
          <w:sz w:val="28"/>
          <w:szCs w:val="28"/>
        </w:rPr>
        <w:t xml:space="preserve"> Психиатрия</w:t>
      </w:r>
    </w:p>
    <w:p w:rsidR="00A91580" w:rsidRPr="00105FE8" w:rsidRDefault="00A91580" w:rsidP="00E3335C">
      <w:pPr>
        <w:ind w:firstLine="709"/>
        <w:jc w:val="center"/>
        <w:rPr>
          <w:sz w:val="28"/>
          <w:szCs w:val="28"/>
        </w:rPr>
      </w:pPr>
      <w:r w:rsidRPr="00105FE8">
        <w:rPr>
          <w:color w:val="000000"/>
          <w:sz w:val="28"/>
          <w:szCs w:val="28"/>
        </w:rPr>
        <w:t xml:space="preserve">утвержденной ученым советом ФГБОУ ВО </w:t>
      </w:r>
      <w:proofErr w:type="spellStart"/>
      <w:r w:rsidRPr="00105FE8">
        <w:rPr>
          <w:color w:val="000000"/>
          <w:sz w:val="28"/>
          <w:szCs w:val="28"/>
        </w:rPr>
        <w:t>ОрГМУ</w:t>
      </w:r>
      <w:proofErr w:type="spellEnd"/>
      <w:r w:rsidRPr="00105FE8">
        <w:rPr>
          <w:color w:val="000000"/>
          <w:sz w:val="28"/>
          <w:szCs w:val="28"/>
        </w:rPr>
        <w:t xml:space="preserve"> Минздрава России</w:t>
      </w:r>
    </w:p>
    <w:p w:rsidR="00A91580" w:rsidRPr="00105FE8" w:rsidRDefault="008E2EB2" w:rsidP="00E3335C">
      <w:pPr>
        <w:ind w:firstLine="709"/>
        <w:jc w:val="center"/>
        <w:rPr>
          <w:color w:val="000000"/>
          <w:sz w:val="28"/>
          <w:szCs w:val="28"/>
        </w:rPr>
      </w:pPr>
      <w:r w:rsidRPr="00105FE8">
        <w:rPr>
          <w:color w:val="000000"/>
          <w:sz w:val="28"/>
          <w:szCs w:val="28"/>
        </w:rPr>
        <w:t>протокол № 11от 22. июня 2018</w:t>
      </w:r>
    </w:p>
    <w:p w:rsidR="00A91580" w:rsidRPr="00105FE8" w:rsidRDefault="00A91580" w:rsidP="00E3335C">
      <w:pPr>
        <w:ind w:firstLine="709"/>
        <w:jc w:val="center"/>
        <w:rPr>
          <w:sz w:val="28"/>
          <w:szCs w:val="28"/>
        </w:rPr>
      </w:pPr>
    </w:p>
    <w:p w:rsidR="007E7400" w:rsidRPr="00105FE8" w:rsidRDefault="007E7400" w:rsidP="00E3335C">
      <w:pPr>
        <w:rPr>
          <w:color w:val="000000"/>
          <w:sz w:val="28"/>
          <w:szCs w:val="28"/>
        </w:rPr>
      </w:pPr>
    </w:p>
    <w:p w:rsidR="003944C2" w:rsidRDefault="003944C2" w:rsidP="00E3335C">
      <w:pPr>
        <w:pStyle w:val="a5"/>
        <w:ind w:left="0" w:firstLine="0"/>
        <w:jc w:val="center"/>
        <w:outlineLvl w:val="0"/>
        <w:rPr>
          <w:rFonts w:ascii="Times New Roman" w:hAnsi="Times New Roman"/>
          <w:color w:val="000000"/>
          <w:sz w:val="28"/>
          <w:szCs w:val="28"/>
        </w:rPr>
      </w:pPr>
      <w:bookmarkStart w:id="0" w:name="_Toc535164689"/>
      <w:r w:rsidRPr="00105FE8">
        <w:rPr>
          <w:rFonts w:ascii="Times New Roman" w:hAnsi="Times New Roman"/>
          <w:color w:val="000000"/>
          <w:sz w:val="28"/>
          <w:szCs w:val="28"/>
        </w:rPr>
        <w:t>Оренбург</w:t>
      </w:r>
    </w:p>
    <w:p w:rsidR="00105FE8" w:rsidRDefault="00105FE8">
      <w:pPr>
        <w:spacing w:after="160" w:line="259" w:lineRule="auto"/>
        <w:rPr>
          <w:color w:val="000000"/>
          <w:sz w:val="28"/>
          <w:szCs w:val="28"/>
        </w:rPr>
      </w:pPr>
      <w:r>
        <w:rPr>
          <w:color w:val="000000"/>
          <w:sz w:val="28"/>
          <w:szCs w:val="28"/>
        </w:rPr>
        <w:br w:type="page"/>
      </w:r>
    </w:p>
    <w:p w:rsidR="00E62D65" w:rsidRPr="00105FE8" w:rsidRDefault="00E62D65" w:rsidP="00E3335C">
      <w:pPr>
        <w:outlineLvl w:val="0"/>
        <w:rPr>
          <w:b/>
          <w:color w:val="000000"/>
          <w:sz w:val="28"/>
          <w:szCs w:val="28"/>
        </w:rPr>
      </w:pP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32" w:rsidRDefault="004C1732" w:rsidP="007E7400">
      <w:r>
        <w:separator/>
      </w:r>
    </w:p>
  </w:endnote>
  <w:endnote w:type="continuationSeparator" w:id="0">
    <w:p w:rsidR="004C1732" w:rsidRDefault="004C1732"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936A6F">
        <w:pPr>
          <w:pStyle w:val="aa"/>
          <w:jc w:val="right"/>
        </w:pPr>
        <w:fldSimple w:instr="PAGE   \* MERGEFORMAT">
          <w:r w:rsidR="00407AC5">
            <w:rPr>
              <w:noProof/>
            </w:rPr>
            <w:t>33</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32" w:rsidRDefault="004C1732" w:rsidP="007E7400">
      <w:r>
        <w:separator/>
      </w:r>
    </w:p>
  </w:footnote>
  <w:footnote w:type="continuationSeparator" w:id="0">
    <w:p w:rsidR="004C1732" w:rsidRDefault="004C1732"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31B9B"/>
    <w:rsid w:val="00936A6F"/>
    <w:rsid w:val="009430A7"/>
    <w:rsid w:val="00950F2D"/>
    <w:rsid w:val="009538C3"/>
    <w:rsid w:val="00954ED2"/>
    <w:rsid w:val="009633B7"/>
    <w:rsid w:val="00963816"/>
    <w:rsid w:val="00970729"/>
    <w:rsid w:val="00973155"/>
    <w:rsid w:val="009758DF"/>
    <w:rsid w:val="0098136D"/>
    <w:rsid w:val="00984163"/>
    <w:rsid w:val="00996823"/>
    <w:rsid w:val="009C3443"/>
    <w:rsid w:val="009D0344"/>
    <w:rsid w:val="009D484D"/>
    <w:rsid w:val="009D5256"/>
    <w:rsid w:val="009D72B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818"/>
    <w:rsid w:val="00EC1291"/>
    <w:rsid w:val="00EC23C3"/>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B7D81"/>
    <w:rsid w:val="00FC4C64"/>
    <w:rsid w:val="00FC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1D7F-3800-41CC-A9D8-F7E60C55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34</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15</cp:revision>
  <cp:lastPrinted>2019-03-31T16:47:00Z</cp:lastPrinted>
  <dcterms:created xsi:type="dcterms:W3CDTF">2019-04-09T20:47:00Z</dcterms:created>
  <dcterms:modified xsi:type="dcterms:W3CDTF">2023-08-31T14:59:00Z</dcterms:modified>
</cp:coreProperties>
</file>