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Pr="00965279" w:rsidRDefault="00320638" w:rsidP="00320638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>по направлению подготовки (специальности)</w:t>
      </w:r>
      <w:r w:rsidR="00443B94" w:rsidRPr="00965279">
        <w:rPr>
          <w:sz w:val="28"/>
          <w:szCs w:val="28"/>
        </w:rPr>
        <w:t xml:space="preserve"> ординатуры</w:t>
      </w:r>
      <w:r w:rsidRPr="00965279">
        <w:rPr>
          <w:sz w:val="28"/>
          <w:szCs w:val="28"/>
        </w:rPr>
        <w:t xml:space="preserve"> </w:t>
      </w:r>
    </w:p>
    <w:p w:rsidR="00F42308" w:rsidRPr="00FD0FD1" w:rsidRDefault="00F42308" w:rsidP="00F4230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31.08.57 Онкология</w:t>
      </w: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5179C3">
      <w:pPr>
        <w:ind w:left="851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B000E5">
        <w:rPr>
          <w:color w:val="000000"/>
          <w:sz w:val="28"/>
          <w:szCs w:val="28"/>
        </w:rPr>
        <w:t>(ординатура)</w:t>
      </w:r>
    </w:p>
    <w:p w:rsidR="005179C3" w:rsidRPr="00FD0FD1" w:rsidRDefault="00F42308" w:rsidP="00F42308">
      <w:pPr>
        <w:jc w:val="center"/>
        <w:rPr>
          <w:sz w:val="28"/>
          <w:szCs w:val="28"/>
          <w:highlight w:val="yellow"/>
        </w:rPr>
      </w:pPr>
      <w:r w:rsidRPr="00F42308">
        <w:rPr>
          <w:sz w:val="28"/>
          <w:szCs w:val="28"/>
          <w:u w:val="single"/>
        </w:rPr>
        <w:t>31.08.57</w:t>
      </w:r>
      <w:r>
        <w:rPr>
          <w:sz w:val="28"/>
          <w:szCs w:val="28"/>
        </w:rPr>
        <w:t xml:space="preserve"> Онкология</w:t>
      </w:r>
    </w:p>
    <w:p w:rsidR="00320638" w:rsidRPr="00B000E5" w:rsidRDefault="00320638" w:rsidP="00320638">
      <w:pPr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B000E5">
        <w:rPr>
          <w:color w:val="000000"/>
          <w:sz w:val="28"/>
          <w:szCs w:val="28"/>
        </w:rPr>
        <w:t>ОрГМУ</w:t>
      </w:r>
      <w:proofErr w:type="spellEnd"/>
      <w:r w:rsidRPr="00B000E5">
        <w:rPr>
          <w:color w:val="000000"/>
          <w:sz w:val="28"/>
          <w:szCs w:val="28"/>
        </w:rPr>
        <w:t xml:space="preserve"> Минздрава России</w:t>
      </w:r>
    </w:p>
    <w:p w:rsidR="00320638" w:rsidRPr="00B000E5" w:rsidRDefault="00443B94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>протокол № 11  от 22 июня 2018 г.</w:t>
      </w:r>
    </w:p>
    <w:p w:rsidR="00320638" w:rsidRPr="00B000E5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sz w:val="24"/>
          <w:szCs w:val="24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5179C3">
      <w:pPr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4B2C94" w:rsidRDefault="004B2C94" w:rsidP="00AE60EF">
      <w:pPr>
        <w:ind w:firstLine="709"/>
        <w:jc w:val="both"/>
        <w:rPr>
          <w:sz w:val="28"/>
        </w:rPr>
      </w:pP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lastRenderedPageBreak/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lastRenderedPageBreak/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lastRenderedPageBreak/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Pr="00BC171B">
              <w:rPr>
                <w:i/>
                <w:sz w:val="28"/>
                <w:szCs w:val="28"/>
              </w:rPr>
              <w:lastRenderedPageBreak/>
              <w:t>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lastRenderedPageBreak/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DB74D1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DB74D1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lastRenderedPageBreak/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красный на </w:t>
      </w:r>
      <w:r w:rsidRPr="00BD5AFD">
        <w:rPr>
          <w:color w:val="000000"/>
          <w:sz w:val="28"/>
          <w:szCs w:val="28"/>
        </w:rPr>
        <w:lastRenderedPageBreak/>
        <w:t>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lastRenderedPageBreak/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2F" w:rsidRDefault="009B2C2F" w:rsidP="00FD5B6B">
      <w:r>
        <w:separator/>
      </w:r>
    </w:p>
  </w:endnote>
  <w:endnote w:type="continuationSeparator" w:id="0">
    <w:p w:rsidR="009B2C2F" w:rsidRDefault="009B2C2F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DB74D1">
    <w:pPr>
      <w:pStyle w:val="ad"/>
      <w:jc w:val="right"/>
    </w:pPr>
    <w:fldSimple w:instr="PAGE   \* MERGEFORMAT">
      <w:r w:rsidR="00F42308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2F" w:rsidRDefault="009B2C2F" w:rsidP="00FD5B6B">
      <w:r>
        <w:separator/>
      </w:r>
    </w:p>
  </w:footnote>
  <w:footnote w:type="continuationSeparator" w:id="0">
    <w:p w:rsidR="009B2C2F" w:rsidRDefault="009B2C2F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56D7"/>
    <w:rsid w:val="00320638"/>
    <w:rsid w:val="003214FD"/>
    <w:rsid w:val="003342E5"/>
    <w:rsid w:val="00337A9B"/>
    <w:rsid w:val="00347C10"/>
    <w:rsid w:val="00353495"/>
    <w:rsid w:val="00373B1C"/>
    <w:rsid w:val="003A2338"/>
    <w:rsid w:val="003B220E"/>
    <w:rsid w:val="003B5F75"/>
    <w:rsid w:val="003C37BE"/>
    <w:rsid w:val="003D073E"/>
    <w:rsid w:val="003E74F7"/>
    <w:rsid w:val="00401AE4"/>
    <w:rsid w:val="00415C51"/>
    <w:rsid w:val="00443B94"/>
    <w:rsid w:val="00462CF4"/>
    <w:rsid w:val="00473647"/>
    <w:rsid w:val="00476000"/>
    <w:rsid w:val="00494CBC"/>
    <w:rsid w:val="004A2C6C"/>
    <w:rsid w:val="004B2C94"/>
    <w:rsid w:val="004C1386"/>
    <w:rsid w:val="004D0B6C"/>
    <w:rsid w:val="004D1091"/>
    <w:rsid w:val="004D499E"/>
    <w:rsid w:val="004F4F50"/>
    <w:rsid w:val="00502FC7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E18EE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12224"/>
    <w:rsid w:val="00730C55"/>
    <w:rsid w:val="00742208"/>
    <w:rsid w:val="00755609"/>
    <w:rsid w:val="0076403D"/>
    <w:rsid w:val="00766B10"/>
    <w:rsid w:val="00787D03"/>
    <w:rsid w:val="0079237F"/>
    <w:rsid w:val="007B41F0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2C2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83AB7"/>
    <w:rsid w:val="00C90052"/>
    <w:rsid w:val="00CA3EB2"/>
    <w:rsid w:val="00CD18BC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70976"/>
    <w:rsid w:val="00D73463"/>
    <w:rsid w:val="00D8196D"/>
    <w:rsid w:val="00DB74D1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F0689E"/>
    <w:rsid w:val="00F11793"/>
    <w:rsid w:val="00F26925"/>
    <w:rsid w:val="00F27490"/>
    <w:rsid w:val="00F30056"/>
    <w:rsid w:val="00F32B26"/>
    <w:rsid w:val="00F42308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F03B-0280-456B-8068-A0F93A1B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2019-04-06T18:40:00Z</dcterms:created>
  <dcterms:modified xsi:type="dcterms:W3CDTF">2019-04-06T18:40:00Z</dcterms:modified>
</cp:coreProperties>
</file>