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Pr="00965279" w:rsidRDefault="00320638" w:rsidP="00320638">
      <w:pPr>
        <w:jc w:val="center"/>
        <w:rPr>
          <w:sz w:val="28"/>
          <w:szCs w:val="28"/>
        </w:rPr>
      </w:pPr>
      <w:r w:rsidRPr="00965279">
        <w:rPr>
          <w:sz w:val="28"/>
          <w:szCs w:val="28"/>
        </w:rPr>
        <w:t>по направлению подготовки (специальности)</w:t>
      </w:r>
      <w:r w:rsidR="00443B94" w:rsidRPr="00965279">
        <w:rPr>
          <w:sz w:val="28"/>
          <w:szCs w:val="28"/>
        </w:rPr>
        <w:t xml:space="preserve"> ординатуры</w:t>
      </w:r>
      <w:r w:rsidRPr="00965279">
        <w:rPr>
          <w:sz w:val="28"/>
          <w:szCs w:val="28"/>
        </w:rPr>
        <w:t xml:space="preserve"> </w:t>
      </w:r>
    </w:p>
    <w:p w:rsidR="00965279" w:rsidRPr="00B000E5" w:rsidRDefault="009B6881" w:rsidP="00965279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31.08.36 Кардиология</w:t>
      </w: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B000E5">
        <w:rPr>
          <w:color w:val="000000"/>
          <w:sz w:val="28"/>
          <w:szCs w:val="28"/>
        </w:rPr>
        <w:t>(ординатура)</w:t>
      </w:r>
    </w:p>
    <w:p w:rsidR="00320638" w:rsidRPr="00B000E5" w:rsidRDefault="009B6881" w:rsidP="00965279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31.08.36 Кардиология</w:t>
      </w:r>
    </w:p>
    <w:p w:rsidR="00320638" w:rsidRPr="00B000E5" w:rsidRDefault="00320638" w:rsidP="00320638">
      <w:pPr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B000E5">
        <w:rPr>
          <w:color w:val="000000"/>
          <w:sz w:val="28"/>
          <w:szCs w:val="28"/>
        </w:rPr>
        <w:t>ОрГМУ</w:t>
      </w:r>
      <w:proofErr w:type="spellEnd"/>
      <w:r w:rsidRPr="00B000E5">
        <w:rPr>
          <w:color w:val="000000"/>
          <w:sz w:val="28"/>
          <w:szCs w:val="28"/>
        </w:rPr>
        <w:t xml:space="preserve"> Минздрава России</w:t>
      </w:r>
    </w:p>
    <w:p w:rsidR="00320638" w:rsidRPr="00B000E5" w:rsidRDefault="00443B94" w:rsidP="00320638">
      <w:pPr>
        <w:ind w:firstLine="709"/>
        <w:jc w:val="center"/>
        <w:rPr>
          <w:color w:val="000000"/>
          <w:sz w:val="28"/>
          <w:szCs w:val="28"/>
        </w:rPr>
      </w:pPr>
      <w:r w:rsidRPr="00B000E5">
        <w:rPr>
          <w:color w:val="000000"/>
          <w:sz w:val="28"/>
          <w:szCs w:val="28"/>
        </w:rPr>
        <w:t>протокол № 11  от 22 июня 2018 г.</w:t>
      </w:r>
    </w:p>
    <w:p w:rsidR="00320638" w:rsidRPr="00B000E5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000E5" w:rsidRDefault="00320638" w:rsidP="00320638">
      <w:pPr>
        <w:ind w:firstLine="709"/>
        <w:jc w:val="center"/>
        <w:rPr>
          <w:sz w:val="24"/>
          <w:szCs w:val="24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4B2C94" w:rsidRPr="004B2C94" w:rsidRDefault="004B2C94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 xml:space="preserve">остоятельной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Дисциплина «Педагогика».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общекультурных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</w:t>
      </w:r>
      <w:r w:rsidR="00E82DAE">
        <w:rPr>
          <w:sz w:val="28"/>
        </w:rPr>
        <w:t>е</w:t>
      </w:r>
      <w:r w:rsidR="00E82DAE">
        <w:rPr>
          <w:sz w:val="28"/>
        </w:rPr>
        <w:t>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плану.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предназначены для углубленного изучения дисциплины. Практические занятия позволяют ордин</w:t>
      </w:r>
      <w:r w:rsidR="00993E3A" w:rsidRPr="00993E3A">
        <w:rPr>
          <w:sz w:val="28"/>
          <w:szCs w:val="28"/>
        </w:rPr>
        <w:t>а</w:t>
      </w:r>
      <w:r w:rsidR="00993E3A" w:rsidRPr="00993E3A">
        <w:rPr>
          <w:sz w:val="28"/>
          <w:szCs w:val="28"/>
        </w:rPr>
        <w:t>тору под руководством преподавателя расширить и детализировать полученные знания, выработать и закрепить навыки их использования в профессиональной де</w:t>
      </w:r>
      <w:r w:rsidR="00993E3A" w:rsidRPr="00993E3A">
        <w:rPr>
          <w:sz w:val="28"/>
          <w:szCs w:val="28"/>
        </w:rPr>
        <w:t>я</w:t>
      </w:r>
      <w:r w:rsidR="00993E3A" w:rsidRPr="00993E3A">
        <w:rPr>
          <w:sz w:val="28"/>
          <w:szCs w:val="28"/>
        </w:rPr>
        <w:t>тельности. Подготовка к практическим занятиям не ограничивается прослушиван</w:t>
      </w:r>
      <w:r w:rsidR="00993E3A" w:rsidRPr="00993E3A">
        <w:rPr>
          <w:sz w:val="28"/>
          <w:szCs w:val="28"/>
        </w:rPr>
        <w:t>и</w:t>
      </w:r>
      <w:r w:rsidR="00993E3A" w:rsidRPr="00993E3A">
        <w:rPr>
          <w:sz w:val="28"/>
          <w:szCs w:val="28"/>
        </w:rPr>
        <w:t>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</w:t>
      </w:r>
      <w:r w:rsidR="005A7EA4">
        <w:rPr>
          <w:b/>
          <w:sz w:val="28"/>
        </w:rPr>
        <w:t>р</w:t>
      </w:r>
      <w:r w:rsidR="005A7EA4">
        <w:rPr>
          <w:b/>
          <w:sz w:val="28"/>
        </w:rPr>
        <w:t>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дисциплне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</w:t>
      </w:r>
      <w:r w:rsidRPr="006F7AD8">
        <w:rPr>
          <w:b/>
          <w:i/>
          <w:sz w:val="28"/>
        </w:rPr>
        <w:t>с</w:t>
      </w:r>
      <w:r w:rsidRPr="006F7AD8">
        <w:rPr>
          <w:b/>
          <w:i/>
          <w:sz w:val="28"/>
        </w:rPr>
        <w:t>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proofErr w:type="gramStart"/>
      <w:r w:rsidRPr="006F7AD8">
        <w:rPr>
          <w:sz w:val="28"/>
        </w:rPr>
        <w:t>Учебно</w:t>
      </w:r>
      <w:proofErr w:type="spellEnd"/>
      <w:r w:rsidRPr="006F7AD8">
        <w:rPr>
          <w:sz w:val="28"/>
        </w:rPr>
        <w:t>- методическое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041"/>
        <w:gridCol w:w="77"/>
        <w:gridCol w:w="348"/>
        <w:gridCol w:w="1780"/>
        <w:gridCol w:w="3527"/>
        <w:gridCol w:w="2064"/>
      </w:tblGrid>
      <w:tr w:rsidR="00BE1AD6" w:rsidRPr="00033367" w:rsidTr="00BC171B">
        <w:tc>
          <w:tcPr>
            <w:tcW w:w="47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BC171B">
        <w:tc>
          <w:tcPr>
            <w:tcW w:w="47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BC171B">
        <w:tc>
          <w:tcPr>
            <w:tcW w:w="10314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AE60EF">
        <w:tc>
          <w:tcPr>
            <w:tcW w:w="47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2064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внеаудиторная работа</w:t>
            </w:r>
          </w:p>
        </w:tc>
      </w:tr>
      <w:tr w:rsidR="00FC3B24" w:rsidRPr="00BC171B" w:rsidTr="00AE60EF">
        <w:tc>
          <w:tcPr>
            <w:tcW w:w="477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>го</w:t>
            </w:r>
            <w:proofErr w:type="spellEnd"/>
            <w:r>
              <w:rPr>
                <w:w w:val="105"/>
                <w:sz w:val="28"/>
                <w:szCs w:val="28"/>
              </w:rPr>
              <w:t xml:space="preserve">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2064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Вневудиторная</w:t>
            </w:r>
            <w:proofErr w:type="spellEnd"/>
            <w:r>
              <w:rPr>
                <w:sz w:val="28"/>
                <w:szCs w:val="28"/>
              </w:rPr>
              <w:t xml:space="preserve"> и аудиторная работа</w:t>
            </w:r>
          </w:p>
        </w:tc>
      </w:tr>
      <w:tr w:rsidR="00373B1C" w:rsidRPr="00BC171B" w:rsidTr="00AE60EF">
        <w:tc>
          <w:tcPr>
            <w:tcW w:w="477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 работа</w:t>
            </w:r>
          </w:p>
        </w:tc>
      </w:tr>
      <w:tr w:rsidR="00E03BD8" w:rsidRPr="00BC171B" w:rsidTr="00AE60EF">
        <w:tc>
          <w:tcPr>
            <w:tcW w:w="477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2064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аудиторная.</w:t>
            </w:r>
          </w:p>
        </w:tc>
      </w:tr>
      <w:tr w:rsidR="009978D9" w:rsidRPr="00BC171B" w:rsidTr="00BC171B">
        <w:tc>
          <w:tcPr>
            <w:tcW w:w="10314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BC171B">
        <w:tc>
          <w:tcPr>
            <w:tcW w:w="477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2064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</w:p>
        </w:tc>
      </w:tr>
      <w:tr w:rsidR="00B66B9F" w:rsidRPr="00BC171B" w:rsidTr="00BC171B">
        <w:tc>
          <w:tcPr>
            <w:tcW w:w="477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</w:t>
            </w:r>
            <w:r w:rsidR="00181BDA">
              <w:rPr>
                <w:i/>
                <w:sz w:val="28"/>
                <w:szCs w:val="28"/>
              </w:rPr>
              <w:lastRenderedPageBreak/>
              <w:t>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</w:p>
        </w:tc>
      </w:tr>
      <w:tr w:rsidR="00B66B9F" w:rsidRPr="00BC171B" w:rsidTr="00BC171B">
        <w:tc>
          <w:tcPr>
            <w:tcW w:w="477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2064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BC171B">
        <w:tc>
          <w:tcPr>
            <w:tcW w:w="477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BC171B">
        <w:tc>
          <w:tcPr>
            <w:tcW w:w="10314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proofErr w:type="spellStart"/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proofErr w:type="spellEnd"/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BE7924">
        <w:tc>
          <w:tcPr>
            <w:tcW w:w="477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BE7924">
        <w:tc>
          <w:tcPr>
            <w:tcW w:w="477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064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BE7924">
        <w:tc>
          <w:tcPr>
            <w:tcW w:w="477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lastRenderedPageBreak/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. Беседа по </w:t>
            </w:r>
            <w:r w:rsidR="00C90052">
              <w:rPr>
                <w:i/>
                <w:color w:val="000000"/>
                <w:sz w:val="28"/>
                <w:szCs w:val="28"/>
              </w:rPr>
              <w:lastRenderedPageBreak/>
              <w:t>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BE7924">
        <w:tc>
          <w:tcPr>
            <w:tcW w:w="477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64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внеаудиторная</w:t>
            </w:r>
          </w:p>
        </w:tc>
      </w:tr>
      <w:tr w:rsidR="00EC2DE3" w:rsidRPr="00033367" w:rsidTr="00BE7924">
        <w:tc>
          <w:tcPr>
            <w:tcW w:w="477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2064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BE7924">
        <w:tc>
          <w:tcPr>
            <w:tcW w:w="477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BE7924">
        <w:tc>
          <w:tcPr>
            <w:tcW w:w="477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2064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BE7924">
        <w:tc>
          <w:tcPr>
            <w:tcW w:w="477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BE7924">
        <w:tc>
          <w:tcPr>
            <w:tcW w:w="477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2064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A55A2E" w:rsidRPr="00033367" w:rsidTr="00BE7924">
        <w:tc>
          <w:tcPr>
            <w:tcW w:w="477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lastRenderedPageBreak/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lastRenderedPageBreak/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lastRenderedPageBreak/>
              <w:t>бота с карточками.</w:t>
            </w:r>
          </w:p>
        </w:tc>
        <w:tc>
          <w:tcPr>
            <w:tcW w:w="2064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BE7924">
        <w:tc>
          <w:tcPr>
            <w:tcW w:w="477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внеаудиторная.</w:t>
            </w:r>
          </w:p>
        </w:tc>
      </w:tr>
      <w:tr w:rsidR="00D70976" w:rsidRPr="00033367" w:rsidTr="00BE7924">
        <w:tc>
          <w:tcPr>
            <w:tcW w:w="477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2064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самостоятельной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BC420B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BC420B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spellStart"/>
      <w:proofErr w:type="gramStart"/>
      <w:r w:rsidRPr="00755609">
        <w:rPr>
          <w:sz w:val="28"/>
        </w:rPr>
        <w:t>граф-схемы</w:t>
      </w:r>
      <w:proofErr w:type="spellEnd"/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ре</w:t>
      </w:r>
      <w:r w:rsidRPr="00AD3EBB">
        <w:rPr>
          <w:sz w:val="28"/>
        </w:rPr>
        <w:t>г</w:t>
      </w:r>
      <w:r w:rsidRPr="00AD3EBB">
        <w:rPr>
          <w:sz w:val="28"/>
        </w:rPr>
        <w:t xml:space="preserve">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умн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spellStart"/>
      <w:proofErr w:type="gramStart"/>
      <w:r>
        <w:rPr>
          <w:b/>
          <w:sz w:val="28"/>
        </w:rPr>
        <w:t>граф-схемы</w:t>
      </w:r>
      <w:proofErr w:type="spellEnd"/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lastRenderedPageBreak/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 xml:space="preserve">жет сразу указать требуемый вид </w:t>
      </w:r>
      <w:proofErr w:type="spellStart"/>
      <w:proofErr w:type="gramStart"/>
      <w:r>
        <w:rPr>
          <w:i/>
          <w:sz w:val="28"/>
        </w:rPr>
        <w:t>граф-схемы</w:t>
      </w:r>
      <w:proofErr w:type="spellEnd"/>
      <w:proofErr w:type="gramEnd"/>
      <w:r>
        <w:rPr>
          <w:i/>
          <w:sz w:val="28"/>
        </w:rPr>
        <w:t xml:space="preserve">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си</w:t>
      </w:r>
      <w:r w:rsidRPr="009C4A0D">
        <w:rPr>
          <w:sz w:val="28"/>
        </w:rPr>
        <w:t>с</w:t>
      </w:r>
      <w:r w:rsidRPr="009C4A0D">
        <w:rPr>
          <w:sz w:val="28"/>
        </w:rPr>
        <w:t xml:space="preserve">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</w:t>
      </w:r>
      <w:proofErr w:type="spellStart"/>
      <w:r w:rsidRPr="009C4A0D">
        <w:rPr>
          <w:sz w:val="28"/>
        </w:rPr>
        <w:t>граф-схемой</w:t>
      </w:r>
      <w:proofErr w:type="spellEnd"/>
      <w:r w:rsidRPr="009C4A0D"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населения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мин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>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самосто</w:t>
      </w:r>
      <w:r w:rsidRPr="00E16CA7">
        <w:rPr>
          <w:sz w:val="28"/>
          <w:szCs w:val="28"/>
        </w:rPr>
        <w:t>я</w:t>
      </w:r>
      <w:r w:rsidRPr="00E16CA7">
        <w:rPr>
          <w:sz w:val="28"/>
          <w:szCs w:val="28"/>
        </w:rPr>
        <w:t>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</w:t>
      </w:r>
      <w:r w:rsidR="000C3A46">
        <w:rPr>
          <w:sz w:val="28"/>
          <w:szCs w:val="28"/>
        </w:rPr>
        <w:t>ганиза</w:t>
      </w:r>
      <w:r w:rsidRPr="005513C8">
        <w:rPr>
          <w:sz w:val="28"/>
          <w:szCs w:val="28"/>
        </w:rPr>
        <w:t xml:space="preserve">ционные аспекты проведения занятий с пациентами и студентами». По </w:t>
      </w:r>
      <w:r w:rsidRPr="005513C8">
        <w:rPr>
          <w:sz w:val="28"/>
          <w:szCs w:val="28"/>
        </w:rPr>
        <w:lastRenderedPageBreak/>
        <w:t>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</w:t>
      </w:r>
      <w:r w:rsidRPr="005513C8">
        <w:rPr>
          <w:sz w:val="28"/>
          <w:szCs w:val="28"/>
        </w:rPr>
        <w:t>у</w:t>
      </w:r>
      <w:r w:rsidRPr="005513C8">
        <w:rPr>
          <w:sz w:val="28"/>
          <w:szCs w:val="28"/>
        </w:rPr>
        <w:t>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анализ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соответствовать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обоснов</w:t>
      </w:r>
      <w:r w:rsidRPr="005513C8">
        <w:rPr>
          <w:sz w:val="28"/>
          <w:szCs w:val="28"/>
        </w:rPr>
        <w:t>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</w:t>
      </w:r>
      <w:r w:rsidRPr="005513C8">
        <w:rPr>
          <w:sz w:val="28"/>
          <w:szCs w:val="28"/>
        </w:rPr>
        <w:t>е</w:t>
      </w:r>
      <w:r w:rsidRPr="005513C8">
        <w:rPr>
          <w:sz w:val="28"/>
          <w:szCs w:val="28"/>
        </w:rPr>
        <w:t>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</w:t>
      </w:r>
      <w:r w:rsidRPr="005513C8">
        <w:rPr>
          <w:sz w:val="28"/>
          <w:szCs w:val="28"/>
        </w:rPr>
        <w:t>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презентации).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</w:t>
      </w:r>
      <w:r w:rsidRPr="005513C8">
        <w:rPr>
          <w:sz w:val="28"/>
          <w:szCs w:val="28"/>
        </w:rPr>
        <w:t>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</w:t>
      </w:r>
      <w:r w:rsidRPr="005513C8">
        <w:rPr>
          <w:sz w:val="28"/>
          <w:szCs w:val="28"/>
        </w:rPr>
        <w:t>ж</w:t>
      </w:r>
      <w:r w:rsidRPr="005513C8">
        <w:rPr>
          <w:sz w:val="28"/>
          <w:szCs w:val="28"/>
        </w:rPr>
        <w:t>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 который прикреплен к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89" w:rsidRDefault="00283F89" w:rsidP="00FD5B6B">
      <w:r>
        <w:separator/>
      </w:r>
    </w:p>
  </w:endnote>
  <w:endnote w:type="continuationSeparator" w:id="0">
    <w:p w:rsidR="00283F89" w:rsidRDefault="00283F8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3A" w:rsidRDefault="00BC420B">
    <w:pPr>
      <w:pStyle w:val="ad"/>
      <w:jc w:val="right"/>
    </w:pPr>
    <w:fldSimple w:instr="PAGE   \* MERGEFORMAT">
      <w:r w:rsidR="009B6881">
        <w:rPr>
          <w:noProof/>
        </w:rPr>
        <w:t>15</w:t>
      </w:r>
    </w:fldSimple>
  </w:p>
  <w:p w:rsidR="00BD3C3A" w:rsidRDefault="00BD3C3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89" w:rsidRDefault="00283F89" w:rsidP="00FD5B6B">
      <w:r>
        <w:separator/>
      </w:r>
    </w:p>
  </w:footnote>
  <w:footnote w:type="continuationSeparator" w:id="0">
    <w:p w:rsidR="00283F89" w:rsidRDefault="00283F8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56D7"/>
    <w:rsid w:val="00320638"/>
    <w:rsid w:val="003214FD"/>
    <w:rsid w:val="003342E5"/>
    <w:rsid w:val="00337A9B"/>
    <w:rsid w:val="00347C10"/>
    <w:rsid w:val="00353495"/>
    <w:rsid w:val="00373B1C"/>
    <w:rsid w:val="003A2338"/>
    <w:rsid w:val="003B220E"/>
    <w:rsid w:val="003B5F75"/>
    <w:rsid w:val="003C37BE"/>
    <w:rsid w:val="003D073E"/>
    <w:rsid w:val="003E74F7"/>
    <w:rsid w:val="00401AE4"/>
    <w:rsid w:val="00415C51"/>
    <w:rsid w:val="00443B94"/>
    <w:rsid w:val="00462CF4"/>
    <w:rsid w:val="00473647"/>
    <w:rsid w:val="00476000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E18EE"/>
    <w:rsid w:val="005E3EEF"/>
    <w:rsid w:val="00603571"/>
    <w:rsid w:val="006123A2"/>
    <w:rsid w:val="006133F9"/>
    <w:rsid w:val="006443AE"/>
    <w:rsid w:val="00647F8F"/>
    <w:rsid w:val="00662BFB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F29D1"/>
    <w:rsid w:val="008113A5"/>
    <w:rsid w:val="00832D24"/>
    <w:rsid w:val="00833C76"/>
    <w:rsid w:val="00840AD9"/>
    <w:rsid w:val="00845C7D"/>
    <w:rsid w:val="00861E3F"/>
    <w:rsid w:val="008731DA"/>
    <w:rsid w:val="00875C8B"/>
    <w:rsid w:val="008B367C"/>
    <w:rsid w:val="008D30D7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66B9F"/>
    <w:rsid w:val="00B73944"/>
    <w:rsid w:val="00B8098F"/>
    <w:rsid w:val="00B90277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CD1"/>
    <w:rsid w:val="00C33C5C"/>
    <w:rsid w:val="00C35B2E"/>
    <w:rsid w:val="00C35EB6"/>
    <w:rsid w:val="00C43027"/>
    <w:rsid w:val="00C578E2"/>
    <w:rsid w:val="00C83AB7"/>
    <w:rsid w:val="00C90052"/>
    <w:rsid w:val="00CA3EB2"/>
    <w:rsid w:val="00CD18BC"/>
    <w:rsid w:val="00CE49F5"/>
    <w:rsid w:val="00D06B87"/>
    <w:rsid w:val="00D31792"/>
    <w:rsid w:val="00D31D77"/>
    <w:rsid w:val="00D33524"/>
    <w:rsid w:val="00D35869"/>
    <w:rsid w:val="00D43CA7"/>
    <w:rsid w:val="00D443E3"/>
    <w:rsid w:val="00D471E6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5AA9-E8CA-45AC-B4EA-545C9043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4639</Words>
  <Characters>26445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2</cp:revision>
  <cp:lastPrinted>2019-03-24T13:03:00Z</cp:lastPrinted>
  <dcterms:created xsi:type="dcterms:W3CDTF">2019-04-06T12:21:00Z</dcterms:created>
  <dcterms:modified xsi:type="dcterms:W3CDTF">2019-04-06T12:21:00Z</dcterms:modified>
</cp:coreProperties>
</file>