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3E4E5B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Патология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0B081D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31.08.09</w:t>
      </w:r>
      <w:r w:rsidR="00A25EE3" w:rsidRPr="00A25EE3">
        <w:rPr>
          <w:b/>
          <w:sz w:val="28"/>
          <w:u w:val="single"/>
        </w:rPr>
        <w:t xml:space="preserve"> </w:t>
      </w:r>
      <w:r w:rsidR="00444F4D">
        <w:rPr>
          <w:b/>
          <w:sz w:val="28"/>
          <w:u w:val="single"/>
        </w:rPr>
        <w:t>Р</w:t>
      </w:r>
      <w:r>
        <w:rPr>
          <w:b/>
          <w:sz w:val="28"/>
          <w:u w:val="single"/>
        </w:rPr>
        <w:t>ентгенология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</w:t>
      </w:r>
      <w:r w:rsidR="000B081D">
        <w:rPr>
          <w:color w:val="000000"/>
          <w:sz w:val="24"/>
          <w:szCs w:val="24"/>
        </w:rPr>
        <w:t>ования по специальности 31.08.09</w:t>
      </w:r>
      <w:r w:rsidRPr="00A25EE3">
        <w:rPr>
          <w:color w:val="000000"/>
          <w:sz w:val="24"/>
          <w:szCs w:val="24"/>
        </w:rPr>
        <w:t xml:space="preserve"> «</w:t>
      </w:r>
      <w:r w:rsidR="00444F4D">
        <w:rPr>
          <w:color w:val="000000"/>
          <w:sz w:val="24"/>
          <w:szCs w:val="24"/>
        </w:rPr>
        <w:t>Р</w:t>
      </w:r>
      <w:r w:rsidR="000B081D">
        <w:rPr>
          <w:color w:val="000000"/>
          <w:sz w:val="24"/>
          <w:szCs w:val="24"/>
        </w:rPr>
        <w:t>ентгенология</w:t>
      </w:r>
      <w:bookmarkStart w:id="0" w:name="_GoBack"/>
      <w:bookmarkEnd w:id="0"/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F52B70" w:rsidP="00F5136B">
      <w:pPr>
        <w:ind w:firstLine="709"/>
        <w:jc w:val="center"/>
        <w:rPr>
          <w:sz w:val="28"/>
        </w:rPr>
      </w:pPr>
      <w:r w:rsidRPr="00F52B70">
        <w:rPr>
          <w:color w:val="000000"/>
          <w:sz w:val="24"/>
          <w:szCs w:val="24"/>
        </w:rPr>
        <w:t>протокол № 11 от «22» июня 2018 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11"/>
        <w:tblW w:w="10207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1805"/>
        <w:gridCol w:w="2449"/>
        <w:gridCol w:w="1805"/>
        <w:gridCol w:w="1805"/>
        <w:gridCol w:w="2343"/>
      </w:tblGrid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E5B">
              <w:rPr>
                <w:rFonts w:ascii="Times New Roman" w:hAnsi="Times New Roman"/>
                <w:sz w:val="28"/>
                <w:szCs w:val="28"/>
              </w:rPr>
              <w:t>Тема  “</w:t>
            </w:r>
            <w:proofErr w:type="gramEnd"/>
            <w:r w:rsidRPr="003E4E5B">
              <w:rPr>
                <w:rFonts w:ascii="Times New Roman" w:hAnsi="Times New Roman"/>
                <w:sz w:val="28"/>
                <w:szCs w:val="28"/>
              </w:rPr>
              <w:t>Патологический процесс и патологические состояния. Патогенез. Защитно-компенсаторные процессы. Порочные круги в патогенезе болезней.”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E5B">
              <w:rPr>
                <w:rFonts w:ascii="Times New Roman" w:hAnsi="Times New Roman"/>
                <w:sz w:val="28"/>
                <w:szCs w:val="28"/>
              </w:rPr>
              <w:t>Тема  “</w:t>
            </w:r>
            <w:proofErr w:type="gramEnd"/>
            <w:r w:rsidRPr="003E4E5B">
              <w:rPr>
                <w:rFonts w:ascii="Times New Roman" w:hAnsi="Times New Roman"/>
                <w:sz w:val="28"/>
                <w:szCs w:val="28"/>
              </w:rPr>
              <w:t>Общие реакции организма на повреждение клеток. Шок. Патология кровообращения. Кровопотеря. ”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</w:t>
            </w: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E5B">
              <w:rPr>
                <w:rFonts w:ascii="Times New Roman" w:hAnsi="Times New Roman"/>
                <w:sz w:val="28"/>
                <w:szCs w:val="28"/>
              </w:rPr>
              <w:t>Тема  “</w:t>
            </w:r>
            <w:proofErr w:type="gramEnd"/>
            <w:r w:rsidRPr="003E4E5B">
              <w:rPr>
                <w:rFonts w:ascii="Times New Roman" w:hAnsi="Times New Roman"/>
                <w:sz w:val="28"/>
                <w:szCs w:val="28"/>
              </w:rPr>
              <w:t>Патофизиология воспаления. Закономерности и формы нарушения иммунитета. ”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4, 5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E5B">
              <w:rPr>
                <w:rFonts w:ascii="Times New Roman" w:hAnsi="Times New Roman"/>
                <w:sz w:val="28"/>
                <w:szCs w:val="28"/>
              </w:rPr>
              <w:t>Тема  “</w:t>
            </w:r>
            <w:proofErr w:type="gramEnd"/>
            <w:r w:rsidRPr="003E4E5B">
              <w:rPr>
                <w:rFonts w:ascii="Times New Roman" w:hAnsi="Times New Roman"/>
                <w:sz w:val="28"/>
                <w:szCs w:val="28"/>
              </w:rPr>
              <w:t>Патофизиология опухолевого роста.”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конспектом </w:t>
            </w: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проблемно – </w:t>
            </w: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ситуационных задач; устный опрос; тестирование; проверка практических навыков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Внеаудиторная – КСР, на базе </w:t>
            </w: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практической подготовки</w:t>
            </w:r>
          </w:p>
        </w:tc>
      </w:tr>
      <w:tr w:rsidR="003E4E5B" w:rsidRPr="003E4E5B" w:rsidTr="0046215D"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6, 7</w:t>
            </w:r>
          </w:p>
        </w:tc>
        <w:tc>
          <w:tcPr>
            <w:tcW w:w="2449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4E5B">
              <w:rPr>
                <w:rFonts w:ascii="Times New Roman" w:hAnsi="Times New Roman"/>
                <w:sz w:val="28"/>
                <w:szCs w:val="28"/>
              </w:rPr>
              <w:t>Тема  “</w:t>
            </w:r>
            <w:proofErr w:type="gramEnd"/>
            <w:r w:rsidRPr="003E4E5B">
              <w:rPr>
                <w:rFonts w:ascii="Times New Roman" w:hAnsi="Times New Roman"/>
                <w:sz w:val="28"/>
                <w:szCs w:val="28"/>
              </w:rPr>
              <w:t>Патофизиология лучевого повреждения органов и систем.”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</w:t>
            </w: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нических рекомендаций); ознакомление с нормативными документами</w:t>
            </w:r>
          </w:p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 устный опрос; тестирование; проверка практических навыков</w:t>
            </w:r>
          </w:p>
        </w:tc>
        <w:tc>
          <w:tcPr>
            <w:tcW w:w="2343" w:type="dxa"/>
          </w:tcPr>
          <w:p w:rsidR="003E4E5B" w:rsidRPr="003E4E5B" w:rsidRDefault="003E4E5B" w:rsidP="003E4E5B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E4E5B">
              <w:rPr>
                <w:rFonts w:ascii="Times New Roman" w:hAnsi="Times New Roman"/>
                <w:sz w:val="28"/>
                <w:szCs w:val="28"/>
              </w:rPr>
              <w:t>Внеаудиторная – КСР, на базе практической подготовки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</w:t>
      </w:r>
      <w:proofErr w:type="gramStart"/>
      <w:r>
        <w:rPr>
          <w:sz w:val="28"/>
        </w:rPr>
        <w:t xml:space="preserve">работы </w:t>
      </w:r>
      <w:r w:rsidRPr="00B13647">
        <w:rPr>
          <w:sz w:val="28"/>
        </w:rPr>
        <w:t xml:space="preserve"> проводится</w:t>
      </w:r>
      <w:proofErr w:type="gramEnd"/>
      <w:r w:rsidRPr="00B13647">
        <w:rPr>
          <w:sz w:val="28"/>
        </w:rPr>
        <w:t xml:space="preserve">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proofErr w:type="gramStart"/>
      <w:r w:rsidRPr="00B13647">
        <w:rPr>
          <w:sz w:val="28"/>
        </w:rPr>
        <w:t>отво</w:t>
      </w:r>
      <w:r>
        <w:rPr>
          <w:sz w:val="28"/>
        </w:rPr>
        <w:t>дится  не</w:t>
      </w:r>
      <w:proofErr w:type="gramEnd"/>
      <w:r>
        <w:rPr>
          <w:sz w:val="28"/>
        </w:rPr>
        <w:t xml:space="preserve">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lastRenderedPageBreak/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</w:t>
      </w:r>
      <w:proofErr w:type="gramStart"/>
      <w:r w:rsidRPr="00B13647">
        <w:rPr>
          <w:sz w:val="28"/>
        </w:rPr>
        <w:t xml:space="preserve">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proofErr w:type="gramEnd"/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13647" w:rsidRPr="00B13647" w:rsidRDefault="0017728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="00B13647"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="00B13647"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</w:t>
      </w:r>
      <w:proofErr w:type="gramStart"/>
      <w:r w:rsidRPr="00B13647">
        <w:rPr>
          <w:sz w:val="28"/>
        </w:rPr>
        <w:t>основные  характеристики</w:t>
      </w:r>
      <w:proofErr w:type="gramEnd"/>
      <w:r w:rsidRPr="00B13647">
        <w:rPr>
          <w:sz w:val="28"/>
        </w:rPr>
        <w:t xml:space="preserve">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</w:p>
    <w:p w:rsidR="00B13647" w:rsidRDefault="00B13647" w:rsidP="00B13647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 w:rsidR="00177287"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 w:rsidR="00177287"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 w:rsidR="00177287">
        <w:rPr>
          <w:sz w:val="28"/>
        </w:rPr>
        <w:t>.</w:t>
      </w:r>
    </w:p>
    <w:p w:rsidR="006F7AD8" w:rsidRPr="006F7AD8" w:rsidRDefault="006F7AD8" w:rsidP="009C4A0D">
      <w:pPr>
        <w:ind w:firstLine="709"/>
        <w:jc w:val="center"/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 xml:space="preserve">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</w:t>
      </w:r>
      <w:r w:rsidRPr="00BD5AFD">
        <w:rPr>
          <w:sz w:val="28"/>
          <w:szCs w:val="28"/>
        </w:rPr>
        <w:lastRenderedPageBreak/>
        <w:t>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83" w:rsidRDefault="00992783" w:rsidP="00FD5B6B">
      <w:r>
        <w:separator/>
      </w:r>
    </w:p>
  </w:endnote>
  <w:endnote w:type="continuationSeparator" w:id="0">
    <w:p w:rsidR="00992783" w:rsidRDefault="0099278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B081D">
      <w:rPr>
        <w:noProof/>
      </w:rPr>
      <w:t>10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83" w:rsidRDefault="00992783" w:rsidP="00FD5B6B">
      <w:r>
        <w:separator/>
      </w:r>
    </w:p>
  </w:footnote>
  <w:footnote w:type="continuationSeparator" w:id="0">
    <w:p w:rsidR="00992783" w:rsidRDefault="0099278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B081D"/>
    <w:rsid w:val="00177287"/>
    <w:rsid w:val="001D4FA7"/>
    <w:rsid w:val="001F5EE1"/>
    <w:rsid w:val="0024749A"/>
    <w:rsid w:val="0026698D"/>
    <w:rsid w:val="002D2784"/>
    <w:rsid w:val="003B5F75"/>
    <w:rsid w:val="003C37BE"/>
    <w:rsid w:val="003E4E5B"/>
    <w:rsid w:val="00444F4D"/>
    <w:rsid w:val="0045011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8576FF"/>
    <w:rsid w:val="009066EC"/>
    <w:rsid w:val="009511F7"/>
    <w:rsid w:val="00985E1D"/>
    <w:rsid w:val="00992783"/>
    <w:rsid w:val="009978D9"/>
    <w:rsid w:val="009C2F35"/>
    <w:rsid w:val="009C4A0D"/>
    <w:rsid w:val="009F49C5"/>
    <w:rsid w:val="00A25EE3"/>
    <w:rsid w:val="00AD3EBB"/>
    <w:rsid w:val="00AF327C"/>
    <w:rsid w:val="00B13647"/>
    <w:rsid w:val="00B350F3"/>
    <w:rsid w:val="00B97996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3E4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6</cp:revision>
  <dcterms:created xsi:type="dcterms:W3CDTF">2019-06-18T03:50:00Z</dcterms:created>
  <dcterms:modified xsi:type="dcterms:W3CDTF">2019-10-14T12:41:00Z</dcterms:modified>
</cp:coreProperties>
</file>