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D816B2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 w:rsidR="00D816B2">
        <w:rPr>
          <w:b/>
          <w:sz w:val="28"/>
        </w:rPr>
        <w:t xml:space="preserve"> </w:t>
      </w:r>
    </w:p>
    <w:p w:rsidR="004B2C94" w:rsidRPr="004B2C94" w:rsidRDefault="00D816B2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 ДИСЦИПЛИНЕ</w:t>
      </w:r>
      <w:r w:rsidR="004B2C94"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D816B2" w:rsidRDefault="00D816B2" w:rsidP="00F5136B">
      <w:pPr>
        <w:ind w:firstLine="709"/>
        <w:jc w:val="center"/>
        <w:rPr>
          <w:b/>
        </w:rPr>
      </w:pPr>
      <w:r w:rsidRPr="00D816B2">
        <w:rPr>
          <w:b/>
          <w:sz w:val="28"/>
        </w:rPr>
        <w:t>ОФТАЛЬМОЛОГИЯ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D816B2" w:rsidP="00F5136B">
      <w:pPr>
        <w:ind w:firstLine="709"/>
        <w:jc w:val="center"/>
        <w:rPr>
          <w:sz w:val="28"/>
        </w:rPr>
      </w:pPr>
      <w:r>
        <w:rPr>
          <w:sz w:val="28"/>
        </w:rPr>
        <w:t>по специальности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D816B2" w:rsidRDefault="004B2C94" w:rsidP="00F5136B">
      <w:pPr>
        <w:ind w:firstLine="709"/>
        <w:jc w:val="center"/>
        <w:rPr>
          <w:i/>
          <w:sz w:val="28"/>
        </w:rPr>
      </w:pPr>
    </w:p>
    <w:p w:rsidR="004B2C94" w:rsidRPr="00D816B2" w:rsidRDefault="00D816B2" w:rsidP="004B2C94">
      <w:pPr>
        <w:ind w:firstLine="709"/>
        <w:jc w:val="center"/>
        <w:rPr>
          <w:i/>
        </w:rPr>
      </w:pPr>
      <w:r w:rsidRPr="00D816B2">
        <w:rPr>
          <w:i/>
          <w:sz w:val="28"/>
        </w:rPr>
        <w:t>31.08.59 Офтальмология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D816B2">
      <w:pPr>
        <w:ind w:firstLine="709"/>
        <w:jc w:val="both"/>
        <w:rPr>
          <w:sz w:val="28"/>
        </w:rPr>
      </w:pPr>
    </w:p>
    <w:p w:rsidR="00FD5B6B" w:rsidRPr="00D816B2" w:rsidRDefault="00FD5B6B" w:rsidP="00D816B2">
      <w:pPr>
        <w:ind w:firstLine="709"/>
        <w:jc w:val="both"/>
        <w:rPr>
          <w:i/>
          <w:sz w:val="24"/>
          <w:szCs w:val="24"/>
        </w:rPr>
      </w:pPr>
      <w:r w:rsidRPr="00D816B2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D816B2" w:rsidRPr="00D816B2">
        <w:rPr>
          <w:i/>
          <w:sz w:val="24"/>
          <w:szCs w:val="24"/>
        </w:rPr>
        <w:t xml:space="preserve">31.08.59 Офтальмология, </w:t>
      </w:r>
      <w:r w:rsidRPr="00D816B2">
        <w:rPr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D816B2">
        <w:rPr>
          <w:color w:val="000000"/>
          <w:sz w:val="24"/>
          <w:szCs w:val="24"/>
        </w:rPr>
        <w:t>ОрГМУ</w:t>
      </w:r>
      <w:proofErr w:type="spellEnd"/>
      <w:r w:rsidRPr="00D816B2">
        <w:rPr>
          <w:color w:val="000000"/>
          <w:sz w:val="24"/>
          <w:szCs w:val="24"/>
        </w:rPr>
        <w:t xml:space="preserve">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FD5B6B" w:rsidRPr="00BD661B" w:rsidRDefault="00FD5B6B" w:rsidP="00FD5B6B">
      <w:pPr>
        <w:ind w:firstLine="709"/>
        <w:jc w:val="center"/>
        <w:rPr>
          <w:color w:val="000000"/>
          <w:sz w:val="24"/>
          <w:szCs w:val="24"/>
        </w:rPr>
      </w:pPr>
      <w:r w:rsidRPr="00BD661B">
        <w:rPr>
          <w:color w:val="000000"/>
          <w:sz w:val="24"/>
          <w:szCs w:val="24"/>
        </w:rPr>
        <w:t xml:space="preserve">протокол № </w:t>
      </w:r>
      <w:r w:rsidR="00ED7D63">
        <w:rPr>
          <w:color w:val="000000"/>
          <w:sz w:val="24"/>
          <w:szCs w:val="24"/>
        </w:rPr>
        <w:t>11</w:t>
      </w:r>
      <w:r w:rsidRPr="00BD661B">
        <w:rPr>
          <w:color w:val="000000"/>
          <w:sz w:val="24"/>
          <w:szCs w:val="24"/>
        </w:rPr>
        <w:t xml:space="preserve"> от «</w:t>
      </w:r>
      <w:r w:rsidR="00ED7D63">
        <w:rPr>
          <w:color w:val="000000"/>
          <w:sz w:val="24"/>
          <w:szCs w:val="24"/>
        </w:rPr>
        <w:t>22</w:t>
      </w:r>
      <w:r w:rsidRPr="00BD661B">
        <w:rPr>
          <w:color w:val="000000"/>
          <w:sz w:val="24"/>
          <w:szCs w:val="24"/>
        </w:rPr>
        <w:t xml:space="preserve">» </w:t>
      </w:r>
      <w:r w:rsidR="00ED7D63">
        <w:rPr>
          <w:color w:val="000000"/>
          <w:sz w:val="24"/>
          <w:szCs w:val="24"/>
        </w:rPr>
        <w:t xml:space="preserve">июня </w:t>
      </w:r>
      <w:r w:rsidRPr="00BD661B">
        <w:rPr>
          <w:color w:val="000000"/>
          <w:sz w:val="24"/>
          <w:szCs w:val="24"/>
        </w:rPr>
        <w:t>20</w:t>
      </w:r>
      <w:r w:rsidR="00ED7D63">
        <w:rPr>
          <w:color w:val="000000"/>
          <w:sz w:val="24"/>
          <w:szCs w:val="24"/>
        </w:rPr>
        <w:t>18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r w:rsidR="00816138">
        <w:rPr>
          <w:sz w:val="28"/>
        </w:rPr>
        <w:t>общепрофессиональных и</w:t>
      </w:r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7665C8" w:rsidRDefault="009511F7" w:rsidP="005B3D9E">
      <w:pPr>
        <w:jc w:val="both"/>
        <w:rPr>
          <w:sz w:val="28"/>
          <w:szCs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  <w:r w:rsidR="00FD5B6B" w:rsidRPr="00F72D55">
        <w:rPr>
          <w:sz w:val="28"/>
        </w:rPr>
        <w:t>В результате выполнения</w:t>
      </w:r>
      <w:r w:rsidR="00F72D55">
        <w:rPr>
          <w:sz w:val="28"/>
        </w:rPr>
        <w:t xml:space="preserve"> самостоятельной работы по модулю </w:t>
      </w:r>
      <w:r w:rsidR="00F72D55" w:rsidRPr="006F7AD8">
        <w:rPr>
          <w:sz w:val="28"/>
        </w:rPr>
        <w:t>«</w:t>
      </w:r>
      <w:r w:rsidR="003A7FB2">
        <w:rPr>
          <w:sz w:val="28"/>
        </w:rPr>
        <w:t>Патология</w:t>
      </w:r>
      <w:r w:rsidR="00F72D55" w:rsidRPr="006F7AD8">
        <w:rPr>
          <w:sz w:val="28"/>
        </w:rPr>
        <w:t>»</w:t>
      </w:r>
      <w:r w:rsidR="00F72D55">
        <w:rPr>
          <w:sz w:val="28"/>
        </w:rPr>
        <w:t xml:space="preserve"> </w:t>
      </w:r>
      <w:r w:rsidR="00FD5B6B" w:rsidRPr="00F72D55">
        <w:rPr>
          <w:sz w:val="28"/>
        </w:rPr>
        <w:t xml:space="preserve"> </w:t>
      </w:r>
      <w:r w:rsidR="00FD5B6B" w:rsidRPr="00F72D55">
        <w:rPr>
          <w:sz w:val="28"/>
          <w:szCs w:val="28"/>
        </w:rPr>
        <w:t>обучающийся должен</w:t>
      </w:r>
      <w:r w:rsidR="005B3D9E">
        <w:rPr>
          <w:sz w:val="28"/>
          <w:szCs w:val="28"/>
        </w:rPr>
        <w:t xml:space="preserve"> знать</w:t>
      </w:r>
      <w:r w:rsidR="00FD5B6B" w:rsidRPr="00F72D55">
        <w:rPr>
          <w:sz w:val="28"/>
          <w:szCs w:val="28"/>
        </w:rPr>
        <w:t xml:space="preserve"> </w:t>
      </w:r>
      <w:r w:rsidR="005B3D9E" w:rsidRPr="005B3D9E">
        <w:rPr>
          <w:color w:val="000000"/>
          <w:sz w:val="28"/>
          <w:szCs w:val="28"/>
          <w:shd w:val="clear" w:color="auto" w:fill="FFFFFF"/>
        </w:rPr>
        <w:t xml:space="preserve">основные понятия общей нозологии; принципы классификации болезней; понятия этиологии, патогенеза, морфогенеза, </w:t>
      </w:r>
      <w:proofErr w:type="spellStart"/>
      <w:r w:rsidR="00AB26D7">
        <w:rPr>
          <w:color w:val="000000"/>
          <w:sz w:val="28"/>
          <w:szCs w:val="28"/>
          <w:shd w:val="clear" w:color="auto" w:fill="FFFFFF"/>
        </w:rPr>
        <w:t>па</w:t>
      </w:r>
      <w:r w:rsidR="005B3D9E" w:rsidRPr="005B3D9E">
        <w:rPr>
          <w:color w:val="000000"/>
          <w:sz w:val="28"/>
          <w:szCs w:val="28"/>
          <w:shd w:val="clear" w:color="auto" w:fill="FFFFFF"/>
        </w:rPr>
        <w:t>томорфоза</w:t>
      </w:r>
      <w:proofErr w:type="spellEnd"/>
      <w:r w:rsidR="005B3D9E" w:rsidRPr="005B3D9E">
        <w:rPr>
          <w:color w:val="000000"/>
          <w:sz w:val="28"/>
          <w:szCs w:val="28"/>
          <w:shd w:val="clear" w:color="auto" w:fill="FFFFFF"/>
        </w:rPr>
        <w:t xml:space="preserve"> болезни; роль морфологического исследования в современной клинической медицине; медицинские и правовые аспекты ятрогенной патологии; причины и механизмы типовых патологической процессов и реакций, их проявления и значение для органа зрения при развитии различных заболеваний; этиологию, патогенез, ведущие проявления и исходы наиболее важных деструктивных, воспалительных,</w:t>
      </w:r>
      <w:r w:rsidR="00AB26D7">
        <w:rPr>
          <w:color w:val="000000"/>
          <w:sz w:val="28"/>
          <w:szCs w:val="28"/>
          <w:shd w:val="clear" w:color="auto" w:fill="FFFFFF"/>
        </w:rPr>
        <w:t xml:space="preserve"> </w:t>
      </w:r>
      <w:r w:rsidR="005B3D9E" w:rsidRPr="005B3D9E">
        <w:rPr>
          <w:color w:val="000000"/>
          <w:sz w:val="28"/>
          <w:szCs w:val="28"/>
          <w:shd w:val="clear" w:color="auto" w:fill="FFFFFF"/>
        </w:rPr>
        <w:t>иммунопатологических, опухолевых и других заболеваний; основы профилактики, лечения и реабилитации основных заболеваний.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9740F5">
      <w:pPr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959"/>
        <w:gridCol w:w="1959"/>
        <w:gridCol w:w="1967"/>
        <w:gridCol w:w="33"/>
      </w:tblGrid>
      <w:tr w:rsidR="006F14A4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6F14A4" w:rsidRPr="00033367" w:rsidRDefault="006F14A4" w:rsidP="0060354C">
            <w:pPr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6F14A4" w:rsidRPr="00033367" w:rsidRDefault="0060354C" w:rsidP="0060354C">
            <w:pPr>
              <w:ind w:firstLine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60354C">
        <w:tc>
          <w:tcPr>
            <w:tcW w:w="10733" w:type="dxa"/>
            <w:gridSpan w:val="6"/>
            <w:shd w:val="clear" w:color="auto" w:fill="auto"/>
          </w:tcPr>
          <w:p w:rsidR="009978D9" w:rsidRPr="009978D9" w:rsidRDefault="009978D9" w:rsidP="009978D9">
            <w:pPr>
              <w:ind w:firstLine="709"/>
              <w:jc w:val="center"/>
              <w:rPr>
                <w:i/>
                <w:sz w:val="28"/>
                <w:vertAlign w:val="superscript"/>
              </w:rPr>
            </w:pPr>
            <w:r w:rsidRPr="009978D9">
              <w:rPr>
                <w:i/>
                <w:sz w:val="28"/>
              </w:rPr>
              <w:t xml:space="preserve">Самостоятельная работа </w:t>
            </w:r>
            <w:r>
              <w:rPr>
                <w:i/>
                <w:sz w:val="28"/>
              </w:rPr>
              <w:t>в</w:t>
            </w:r>
            <w:r w:rsidRPr="009978D9">
              <w:rPr>
                <w:i/>
                <w:sz w:val="28"/>
              </w:rPr>
              <w:t xml:space="preserve"> рамках всей дисциплины</w:t>
            </w:r>
            <w:r>
              <w:rPr>
                <w:i/>
                <w:sz w:val="28"/>
                <w:vertAlign w:val="superscript"/>
              </w:rPr>
              <w:t>3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Default="00FE2517" w:rsidP="00FE2517">
            <w:pPr>
              <w:ind w:hanging="26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E2517" w:rsidRPr="00FE2517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2517">
              <w:rPr>
                <w:color w:val="000000"/>
                <w:sz w:val="24"/>
                <w:szCs w:val="24"/>
                <w:shd w:val="clear" w:color="auto" w:fill="FFFFFF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здоровьем, готовность к ведению и лечению пациентов, нуждающихся в оказании офтальмологической медицинской помощи</w:t>
            </w:r>
          </w:p>
        </w:tc>
        <w:tc>
          <w:tcPr>
            <w:tcW w:w="1959" w:type="dxa"/>
            <w:shd w:val="clear" w:color="auto" w:fill="auto"/>
          </w:tcPr>
          <w:p w:rsidR="00FE2517" w:rsidRPr="0060354C" w:rsidRDefault="00FE2517" w:rsidP="00AB2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 xml:space="preserve">Работа над учебным материалом (учебника, первоисточника, дополнительной литературы); чтение текста (учебника, первоисточника, дополнительной </w:t>
            </w: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литературы, ресурсов Интернет); составление электронной презентации; конспектирование текста</w:t>
            </w:r>
            <w:r w:rsidR="0024003E">
              <w:rPr>
                <w:color w:val="000000"/>
                <w:sz w:val="24"/>
                <w:szCs w:val="24"/>
                <w:shd w:val="clear" w:color="auto" w:fill="FFFFFF"/>
              </w:rPr>
              <w:t>, подготовка рефератов.</w:t>
            </w:r>
          </w:p>
        </w:tc>
        <w:tc>
          <w:tcPr>
            <w:tcW w:w="1959" w:type="dxa"/>
            <w:shd w:val="clear" w:color="auto" w:fill="auto"/>
          </w:tcPr>
          <w:p w:rsidR="00FE2517" w:rsidRDefault="0024003E" w:rsidP="00AB2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Устный опрос, решение проблемно – ситуационных задач; защита рефератов </w:t>
            </w:r>
            <w:r w:rsidR="00FE2517" w:rsidRPr="00FE251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FE2517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я;</w:t>
            </w:r>
          </w:p>
          <w:p w:rsidR="00FE2517" w:rsidRPr="00194653" w:rsidRDefault="00FE2517" w:rsidP="00FE2517">
            <w:pPr>
              <w:jc w:val="both"/>
              <w:rPr>
                <w:sz w:val="24"/>
                <w:szCs w:val="24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5B3D9E" w:rsidRPr="00033367" w:rsidTr="002D5D7D">
        <w:trPr>
          <w:gridAfter w:val="1"/>
          <w:wAfter w:w="33" w:type="dxa"/>
        </w:trPr>
        <w:tc>
          <w:tcPr>
            <w:tcW w:w="10700" w:type="dxa"/>
            <w:gridSpan w:val="5"/>
            <w:shd w:val="clear" w:color="auto" w:fill="auto"/>
          </w:tcPr>
          <w:p w:rsidR="005B3D9E" w:rsidRDefault="005B3D9E" w:rsidP="005B3D9E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lastRenderedPageBreak/>
              <w:t>Самостоятельная работа в рамках практических/семинарских заня</w:t>
            </w:r>
            <w:r>
              <w:rPr>
                <w:i/>
                <w:sz w:val="28"/>
              </w:rPr>
              <w:t>тий</w:t>
            </w:r>
          </w:p>
          <w:p w:rsidR="005B3D9E" w:rsidRDefault="005B3D9E" w:rsidP="00EA2EB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Патология</w:t>
            </w:r>
            <w:r w:rsidRPr="00033367">
              <w:rPr>
                <w:sz w:val="28"/>
              </w:rPr>
              <w:t>»</w:t>
            </w:r>
          </w:p>
        </w:tc>
      </w:tr>
      <w:tr w:rsidR="005B3D9E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5B3D9E" w:rsidRPr="00033367" w:rsidRDefault="005B3D9E" w:rsidP="005B3D9E">
            <w:pPr>
              <w:ind w:hanging="26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B3D9E" w:rsidRPr="00ED7D63" w:rsidRDefault="005B3D9E" w:rsidP="005B3D9E">
            <w:pPr>
              <w:jc w:val="both"/>
              <w:rPr>
                <w:sz w:val="24"/>
                <w:szCs w:val="24"/>
                <w:vertAlign w:val="superscript"/>
              </w:rPr>
            </w:pPr>
            <w:r w:rsidRPr="00ED7D63">
              <w:rPr>
                <w:sz w:val="24"/>
                <w:szCs w:val="24"/>
              </w:rPr>
              <w:t>Тема «</w:t>
            </w:r>
            <w:r w:rsidR="00ED7D63" w:rsidRPr="00ED7D63">
              <w:rPr>
                <w:color w:val="000000"/>
                <w:sz w:val="24"/>
                <w:szCs w:val="24"/>
                <w:shd w:val="clear" w:color="auto" w:fill="FFFFFF"/>
              </w:rPr>
              <w:t>Предмет и задачи общей патологии. Основные положения учения о болезни, этиологии, патогенезе.</w:t>
            </w:r>
            <w:r w:rsidRPr="00ED7D63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5B3D9E" w:rsidRPr="0060354C" w:rsidRDefault="005B3D9E" w:rsidP="00AB26D7">
            <w:pPr>
              <w:jc w:val="both"/>
              <w:rPr>
                <w:sz w:val="24"/>
                <w:szCs w:val="24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5B3D9E" w:rsidRPr="00194653" w:rsidRDefault="0024003E" w:rsidP="005B3D9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Устный опрос; защита реферата; решение 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5B3D9E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внеаудиторная;</w:t>
            </w:r>
          </w:p>
          <w:p w:rsidR="005B3D9E" w:rsidRPr="00194653" w:rsidRDefault="005B3D9E" w:rsidP="005B3D9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5B3D9E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5B3D9E" w:rsidRPr="00033367" w:rsidRDefault="005B3D9E" w:rsidP="005B3D9E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5B3D9E" w:rsidRPr="00ED7D63" w:rsidRDefault="005B3D9E" w:rsidP="005B3D9E">
            <w:pPr>
              <w:rPr>
                <w:sz w:val="24"/>
                <w:szCs w:val="24"/>
              </w:rPr>
            </w:pPr>
            <w:r w:rsidRPr="00ED7D63">
              <w:rPr>
                <w:sz w:val="24"/>
                <w:szCs w:val="24"/>
              </w:rPr>
              <w:t>Тема «</w:t>
            </w:r>
            <w:r w:rsidR="00ED7D63" w:rsidRPr="00ED7D63">
              <w:rPr>
                <w:color w:val="000000"/>
                <w:sz w:val="24"/>
                <w:szCs w:val="24"/>
                <w:shd w:val="clear" w:color="auto" w:fill="FFFFFF"/>
              </w:rPr>
              <w:t>Взаимодействие организма и окружающей среды в условиях патологии. Типовые патологические процессы при экстремальных состояниях организма</w:t>
            </w:r>
            <w:r w:rsidRPr="00ED7D63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5B3D9E" w:rsidP="00AB26D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24003E" w:rsidP="00AB26D7">
            <w:pPr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Устный опрос; защита реферата; решение 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5B3D9E" w:rsidRPr="004F51E0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я.</w:t>
            </w:r>
          </w:p>
        </w:tc>
      </w:tr>
      <w:tr w:rsidR="005B3D9E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5B3D9E" w:rsidRPr="00033367" w:rsidRDefault="005B3D9E" w:rsidP="005B3D9E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5B3D9E" w:rsidRPr="00ED7D63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7D63">
              <w:rPr>
                <w:sz w:val="24"/>
                <w:szCs w:val="24"/>
              </w:rPr>
              <w:t>Тема «</w:t>
            </w:r>
            <w:r w:rsidR="00ED7D63" w:rsidRPr="00ED7D63">
              <w:rPr>
                <w:color w:val="000000"/>
                <w:sz w:val="24"/>
                <w:szCs w:val="24"/>
                <w:shd w:val="clear" w:color="auto" w:fill="FFFFFF"/>
              </w:rPr>
              <w:t>Патофизиология воспаления. Закономерности и формы нарушения иммунитета. Роль реактивности в патологии</w:t>
            </w:r>
            <w:r w:rsidRPr="00ED7D63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5B3D9E" w:rsidP="00AB26D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</w:t>
            </w: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воисточника, дополнительной литературы, ресурсов Интернет); составление электронной презентации; конспектирование текста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24003E" w:rsidP="005B3D9E">
            <w:pPr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Устный опрос; защита реферата; решение 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5B3D9E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B3D9E" w:rsidRPr="00033367" w:rsidRDefault="005B3D9E" w:rsidP="005B3D9E">
            <w:pPr>
              <w:rPr>
                <w:sz w:val="28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5B3D9E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5B3D9E" w:rsidRDefault="005B3D9E" w:rsidP="005B3D9E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</w:t>
            </w:r>
          </w:p>
        </w:tc>
        <w:tc>
          <w:tcPr>
            <w:tcW w:w="4253" w:type="dxa"/>
            <w:shd w:val="clear" w:color="auto" w:fill="auto"/>
          </w:tcPr>
          <w:p w:rsidR="005B3D9E" w:rsidRPr="00ED7D63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7D63">
              <w:rPr>
                <w:sz w:val="24"/>
                <w:szCs w:val="24"/>
              </w:rPr>
              <w:t>Тема «</w:t>
            </w:r>
            <w:r w:rsidR="00ED7D63" w:rsidRPr="00ED7D63">
              <w:rPr>
                <w:color w:val="000000"/>
                <w:sz w:val="24"/>
                <w:szCs w:val="24"/>
                <w:shd w:val="clear" w:color="auto" w:fill="FFFFFF"/>
              </w:rPr>
              <w:t>Патофизиология опухолевого роста</w:t>
            </w:r>
            <w:r w:rsidRPr="00ED7D63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5B3D9E" w:rsidP="00AB26D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24003E" w:rsidP="005B3D9E">
            <w:pPr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Устный опрос; защита реферата; решение 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5B3D9E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я;</w:t>
            </w:r>
          </w:p>
          <w:p w:rsidR="005B3D9E" w:rsidRDefault="005B3D9E" w:rsidP="005B3D9E">
            <w:pPr>
              <w:ind w:firstLine="709"/>
              <w:jc w:val="center"/>
              <w:rPr>
                <w:sz w:val="28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5B3D9E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5B3D9E" w:rsidRDefault="005B3D9E" w:rsidP="005B3D9E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253" w:type="dxa"/>
            <w:shd w:val="clear" w:color="auto" w:fill="auto"/>
          </w:tcPr>
          <w:p w:rsidR="005B3D9E" w:rsidRPr="00ED7D63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7D63">
              <w:rPr>
                <w:sz w:val="24"/>
                <w:szCs w:val="24"/>
              </w:rPr>
              <w:t>Тема «</w:t>
            </w:r>
            <w:r w:rsidR="00ED7D63" w:rsidRPr="00ED7D63">
              <w:rPr>
                <w:color w:val="000000"/>
                <w:sz w:val="24"/>
                <w:szCs w:val="24"/>
                <w:shd w:val="clear" w:color="auto" w:fill="FFFFFF"/>
              </w:rPr>
              <w:t>Нарушения системы гемостаза</w:t>
            </w:r>
            <w:r w:rsidRPr="00ED7D63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5B3D9E" w:rsidP="00AB26D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5B3D9E" w:rsidRPr="00033367" w:rsidRDefault="0024003E" w:rsidP="0024003E">
            <w:pPr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  <w:shd w:val="clear" w:color="auto" w:fill="FFFFFF"/>
              </w:rPr>
              <w:t>Устный опрос; защита реферата; решение проблемно – ситуационных задач</w:t>
            </w:r>
            <w:r w:rsidRPr="00033367">
              <w:rPr>
                <w:sz w:val="28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5B3D9E" w:rsidRPr="00D90E99" w:rsidRDefault="005B3D9E" w:rsidP="005B3D9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</w:tr>
    </w:tbl>
    <w:p w:rsidR="009978D9" w:rsidRDefault="009978D9" w:rsidP="00B14C30">
      <w:pPr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6F77C4" w:rsidRDefault="006F77C4" w:rsidP="006F77C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6F77C4" w:rsidRPr="00460AEA" w:rsidRDefault="006F77C4" w:rsidP="006F77C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6F77C4" w:rsidRPr="00C35B2E" w:rsidRDefault="006F77C4" w:rsidP="006F77C4">
      <w:pPr>
        <w:ind w:firstLine="709"/>
        <w:jc w:val="both"/>
        <w:rPr>
          <w:sz w:val="8"/>
          <w:szCs w:val="28"/>
        </w:rPr>
      </w:pPr>
    </w:p>
    <w:p w:rsidR="006F77C4" w:rsidRPr="00821EB4" w:rsidRDefault="006F77C4" w:rsidP="006F77C4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6F77C4" w:rsidRDefault="006F77C4" w:rsidP="006F77C4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lastRenderedPageBreak/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6F77C4" w:rsidRDefault="006F77C4" w:rsidP="006F77C4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6F77C4" w:rsidRPr="00981A6C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6F77C4" w:rsidRPr="009F413C" w:rsidRDefault="006F77C4" w:rsidP="006F77C4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6F77C4" w:rsidRPr="009F413C" w:rsidRDefault="006F77C4" w:rsidP="006F77C4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6F77C4" w:rsidRPr="009F413C" w:rsidRDefault="006F77C4" w:rsidP="006F77C4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6F77C4" w:rsidRPr="009F413C" w:rsidRDefault="006F77C4" w:rsidP="006F77C4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6F77C4" w:rsidRPr="009F413C" w:rsidRDefault="006F77C4" w:rsidP="006F77C4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6F77C4" w:rsidRPr="009F413C" w:rsidRDefault="006F77C4" w:rsidP="006F77C4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6F77C4" w:rsidRPr="009F413C" w:rsidRDefault="006F77C4" w:rsidP="006F77C4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6F77C4" w:rsidRPr="009F413C" w:rsidRDefault="006F77C4" w:rsidP="006F77C4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6F77C4" w:rsidRPr="00755609" w:rsidRDefault="006F77C4" w:rsidP="006F77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6F77C4" w:rsidRPr="00755609" w:rsidRDefault="006F77C4" w:rsidP="006F77C4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вторичные (библиография, реферативные журналы, сигнальная информация, планы, граф-схемы, предметные указатели и т.д.);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 xml:space="preserve">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6F77C4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6F77C4" w:rsidRDefault="006F77C4" w:rsidP="006F77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6F77C4" w:rsidRPr="00AD3EBB" w:rsidRDefault="006F77C4" w:rsidP="006F77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проектирование архитектур поисковых систем и пользовательских интерфейсов;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AD3EBB">
        <w:rPr>
          <w:sz w:val="28"/>
        </w:rPr>
        <w:t xml:space="preserve">поиск самих информационных источников (документов и изданий), в которых есть или может содержаться нужная информация;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6F77C4" w:rsidRPr="00AD3EBB" w:rsidRDefault="006F77C4" w:rsidP="006F77C4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собранной информации;</w:t>
      </w:r>
    </w:p>
    <w:p w:rsidR="006F77C4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762B77" w:rsidRPr="00BD5AFD" w:rsidRDefault="00762B77" w:rsidP="00762B77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762B77" w:rsidRPr="00BD5AFD" w:rsidRDefault="00762B77" w:rsidP="00762B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762B77" w:rsidRPr="00BD5AFD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762B77" w:rsidRPr="00BD5AFD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762B77" w:rsidRPr="00BD5AFD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762B77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762B77" w:rsidRPr="00C35B2E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отчество докладчика.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информацией</w:t>
      </w:r>
      <w:r w:rsidRPr="00BD5AFD">
        <w:rPr>
          <w:sz w:val="28"/>
          <w:szCs w:val="28"/>
        </w:rPr>
        <w:t>, различными эффектами анимации.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 xml:space="preserve">. Каждая отдельная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лучше»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r w:rsidRPr="00BD5AFD">
        <w:rPr>
          <w:bCs/>
          <w:color w:val="000000"/>
          <w:sz w:val="28"/>
          <w:szCs w:val="28"/>
        </w:rPr>
        <w:t xml:space="preserve">черный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 xml:space="preserve">простой печатный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</w:t>
      </w:r>
      <w:bookmarkStart w:id="1" w:name=".D0.A1.D0.BE.D0.B2.D0.B5.D1.82.D1.8B_.D0"/>
      <w:bookmarkEnd w:id="1"/>
      <w:r w:rsidRPr="00BD5AFD">
        <w:rPr>
          <w:sz w:val="28"/>
          <w:szCs w:val="28"/>
        </w:rPr>
        <w:t>, дают информацию для контактов.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bookmarkStart w:id="2" w:name=".D0.A1.D0.BA.D0.BE.D0.BB.D1.8C.D0.BA.D0."/>
      <w:bookmarkEnd w:id="2"/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Чем </w:t>
      </w:r>
      <w:proofErr w:type="spellStart"/>
      <w:r w:rsidRPr="00BD5AFD">
        <w:rPr>
          <w:color w:val="000000"/>
          <w:sz w:val="28"/>
          <w:szCs w:val="28"/>
        </w:rPr>
        <w:t>абстрактнее</w:t>
      </w:r>
      <w:proofErr w:type="spellEnd"/>
      <w:r w:rsidRPr="00BD5AFD">
        <w:rPr>
          <w:color w:val="000000"/>
          <w:sz w:val="28"/>
          <w:szCs w:val="28"/>
        </w:rPr>
        <w:t xml:space="preserve"> материал, тем действеннее иллюстрация.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внимания пользователя и управления им.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762B77" w:rsidRPr="00BD5AFD" w:rsidRDefault="00762B77" w:rsidP="00762B77">
      <w:pPr>
        <w:ind w:firstLine="709"/>
        <w:jc w:val="center"/>
        <w:rPr>
          <w:b/>
          <w:bCs/>
          <w:sz w:val="28"/>
          <w:szCs w:val="28"/>
        </w:rPr>
      </w:pPr>
      <w:r w:rsidRPr="00BD5AF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 xml:space="preserve">указания </w:t>
      </w:r>
      <w:r w:rsidRPr="00BD5AFD">
        <w:rPr>
          <w:b/>
          <w:bCs/>
          <w:sz w:val="28"/>
          <w:szCs w:val="28"/>
        </w:rPr>
        <w:t>по подготовке и оформлению реферата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762B77" w:rsidRPr="00BD5AFD" w:rsidRDefault="00762B77" w:rsidP="00762B7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762B77" w:rsidRPr="00BD5AFD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762B77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762B77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762B77" w:rsidRPr="00BD5AFD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«</w:t>
      </w:r>
      <w:proofErr w:type="spellStart"/>
      <w:r w:rsidRPr="00BD5AFD">
        <w:rPr>
          <w:sz w:val="28"/>
          <w:szCs w:val="28"/>
        </w:rPr>
        <w:t>Times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New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Roman</w:t>
      </w:r>
      <w:proofErr w:type="spellEnd"/>
      <w:r w:rsidRPr="00BD5AFD">
        <w:rPr>
          <w:sz w:val="28"/>
          <w:szCs w:val="28"/>
        </w:rPr>
        <w:t xml:space="preserve">» 14 </w:t>
      </w:r>
      <w:proofErr w:type="spellStart"/>
      <w:r w:rsidRPr="00BD5AFD">
        <w:rPr>
          <w:sz w:val="28"/>
          <w:szCs w:val="28"/>
        </w:rPr>
        <w:t>пт</w:t>
      </w:r>
      <w:proofErr w:type="spellEnd"/>
      <w:r w:rsidRPr="00BD5AFD">
        <w:rPr>
          <w:sz w:val="28"/>
          <w:szCs w:val="28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6F77C4" w:rsidRDefault="006F77C4" w:rsidP="00593334">
      <w:pPr>
        <w:ind w:firstLine="709"/>
        <w:jc w:val="both"/>
        <w:rPr>
          <w:sz w:val="28"/>
        </w:rPr>
      </w:pPr>
    </w:p>
    <w:p w:rsidR="00BF1CD1" w:rsidRDefault="00BF1CD1" w:rsidP="00593334">
      <w:pPr>
        <w:ind w:firstLine="709"/>
        <w:jc w:val="both"/>
        <w:rPr>
          <w:sz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25"/>
      </w:tblGrid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 xml:space="preserve">Критерии </w:t>
            </w:r>
          </w:p>
        </w:tc>
      </w:tr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jc w:val="center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Неудовлетворительно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jc w:val="both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Выставляется без беседы по вопросам билета, если ординатор не решил задачу и не справился с предложенным практическим заданием, а также входит в группу риска.</w:t>
            </w:r>
          </w:p>
          <w:p w:rsidR="006F77C4" w:rsidRPr="006F77C4" w:rsidRDefault="006F77C4" w:rsidP="00473CC3">
            <w:pPr>
              <w:jc w:val="both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Выставляется за бессодержательные ответы на вопросы билета, незнание основных понятий, неумение применить знания практически.</w:t>
            </w:r>
          </w:p>
        </w:tc>
      </w:tr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jc w:val="center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jc w:val="both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 xml:space="preserve">Выставляется за частично правильные или недостаточно полные ответы на вопросы билета, свидетельствующие о существенных недоработках ординатора, за формальные ответы, непонимание вопроса, в том случае, если он не входит в группу риска. </w:t>
            </w:r>
          </w:p>
        </w:tc>
      </w:tr>
      <w:tr w:rsidR="006F77C4" w:rsidRPr="006F77C4" w:rsidTr="00473CC3">
        <w:trPr>
          <w:trHeight w:val="70"/>
        </w:trPr>
        <w:tc>
          <w:tcPr>
            <w:tcW w:w="2628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 xml:space="preserve">Выставляется за хорошее усвоение материала; достаточно полные ответы на все вопросы билета, самостоятельное решение задач. Однако в усвоении материала и изложении имеются недостатки, не носящие принципиального характера. При спорных ответах по одному из вопросов </w:t>
            </w:r>
            <w:r w:rsidRPr="006F77C4">
              <w:rPr>
                <w:sz w:val="28"/>
                <w:szCs w:val="28"/>
              </w:rPr>
              <w:lastRenderedPageBreak/>
              <w:t>билета ординатору, имеющему достаточно высокий рейтинг за год, допускается возможность поставить «хорошо».</w:t>
            </w:r>
          </w:p>
        </w:tc>
      </w:tr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lastRenderedPageBreak/>
              <w:t>Отлично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На экзамене выставляется за неформальные и осознанные, глубокие, полные ответы на все вопросы билета (теоретического и практического характера), учитывается рейтинг за год, если он показывает добросовестное отношение к учебе в течение года.</w:t>
            </w:r>
          </w:p>
        </w:tc>
      </w:tr>
    </w:tbl>
    <w:p w:rsidR="00F44E53" w:rsidRPr="006F77C4" w:rsidRDefault="00F44E53" w:rsidP="00593334">
      <w:pPr>
        <w:ind w:firstLine="709"/>
        <w:jc w:val="both"/>
        <w:rPr>
          <w:sz w:val="28"/>
          <w:szCs w:val="28"/>
        </w:rPr>
      </w:pPr>
    </w:p>
    <w:p w:rsidR="00C35B2E" w:rsidRPr="00755609" w:rsidRDefault="00C35B2E" w:rsidP="00F922E9">
      <w:pPr>
        <w:ind w:firstLine="709"/>
        <w:jc w:val="both"/>
        <w:outlineLvl w:val="0"/>
        <w:rPr>
          <w:sz w:val="28"/>
        </w:rPr>
      </w:pPr>
      <w:r w:rsidRPr="00344EFB">
        <w:rPr>
          <w:sz w:val="28"/>
          <w:szCs w:val="28"/>
        </w:rPr>
        <w:t xml:space="preserve"> </w:t>
      </w:r>
    </w:p>
    <w:sectPr w:rsidR="00C35B2E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52" w:rsidRDefault="00AF6F52" w:rsidP="00FD5B6B">
      <w:r>
        <w:separator/>
      </w:r>
    </w:p>
  </w:endnote>
  <w:endnote w:type="continuationSeparator" w:id="0">
    <w:p w:rsidR="00AF6F52" w:rsidRDefault="00AF6F52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E99" w:rsidRDefault="00D90E9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24003E">
      <w:rPr>
        <w:noProof/>
      </w:rPr>
      <w:t>8</w:t>
    </w:r>
    <w:r>
      <w:fldChar w:fldCharType="end"/>
    </w:r>
  </w:p>
  <w:p w:rsidR="00D90E99" w:rsidRDefault="00D90E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52" w:rsidRDefault="00AF6F52" w:rsidP="00FD5B6B">
      <w:r>
        <w:separator/>
      </w:r>
    </w:p>
  </w:footnote>
  <w:footnote w:type="continuationSeparator" w:id="0">
    <w:p w:rsidR="00AF6F52" w:rsidRDefault="00AF6F52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952A8"/>
    <w:multiLevelType w:val="hybridMultilevel"/>
    <w:tmpl w:val="956E1EE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32185"/>
    <w:multiLevelType w:val="multilevel"/>
    <w:tmpl w:val="9B128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5E7A4669"/>
    <w:multiLevelType w:val="hybridMultilevel"/>
    <w:tmpl w:val="A1C4786A"/>
    <w:lvl w:ilvl="0" w:tplc="A6720C7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63663"/>
    <w:rsid w:val="00083C34"/>
    <w:rsid w:val="000931E3"/>
    <w:rsid w:val="0011221B"/>
    <w:rsid w:val="00194653"/>
    <w:rsid w:val="001F5EE1"/>
    <w:rsid w:val="0024003E"/>
    <w:rsid w:val="0026698D"/>
    <w:rsid w:val="002A6BEF"/>
    <w:rsid w:val="002D2784"/>
    <w:rsid w:val="003A7FB2"/>
    <w:rsid w:val="003B5F75"/>
    <w:rsid w:val="003C37BE"/>
    <w:rsid w:val="00476000"/>
    <w:rsid w:val="004B2C94"/>
    <w:rsid w:val="004C1386"/>
    <w:rsid w:val="004D1091"/>
    <w:rsid w:val="004E2637"/>
    <w:rsid w:val="004F51E0"/>
    <w:rsid w:val="0052170D"/>
    <w:rsid w:val="005677BE"/>
    <w:rsid w:val="00582BA5"/>
    <w:rsid w:val="00593334"/>
    <w:rsid w:val="005B3D9E"/>
    <w:rsid w:val="0060354C"/>
    <w:rsid w:val="006766BD"/>
    <w:rsid w:val="006847B8"/>
    <w:rsid w:val="00693E11"/>
    <w:rsid w:val="006F14A4"/>
    <w:rsid w:val="006F77C4"/>
    <w:rsid w:val="006F7AD8"/>
    <w:rsid w:val="00742208"/>
    <w:rsid w:val="00755609"/>
    <w:rsid w:val="00762B77"/>
    <w:rsid w:val="007665C8"/>
    <w:rsid w:val="0079237F"/>
    <w:rsid w:val="008113A5"/>
    <w:rsid w:val="00816138"/>
    <w:rsid w:val="00832D24"/>
    <w:rsid w:val="00845C7D"/>
    <w:rsid w:val="009511F7"/>
    <w:rsid w:val="00965147"/>
    <w:rsid w:val="009740F5"/>
    <w:rsid w:val="00985E1D"/>
    <w:rsid w:val="009978D9"/>
    <w:rsid w:val="009C2F35"/>
    <w:rsid w:val="009C4A0D"/>
    <w:rsid w:val="009F49C5"/>
    <w:rsid w:val="00A31073"/>
    <w:rsid w:val="00A45D00"/>
    <w:rsid w:val="00AB26D7"/>
    <w:rsid w:val="00AD3EBB"/>
    <w:rsid w:val="00AF327C"/>
    <w:rsid w:val="00AF6F52"/>
    <w:rsid w:val="00B14C30"/>
    <w:rsid w:val="00B350F3"/>
    <w:rsid w:val="00BA1B18"/>
    <w:rsid w:val="00BF1CD1"/>
    <w:rsid w:val="00C35B2E"/>
    <w:rsid w:val="00C83AB7"/>
    <w:rsid w:val="00D06B87"/>
    <w:rsid w:val="00D212B2"/>
    <w:rsid w:val="00D33524"/>
    <w:rsid w:val="00D35869"/>
    <w:rsid w:val="00D471E6"/>
    <w:rsid w:val="00D816B2"/>
    <w:rsid w:val="00D90E99"/>
    <w:rsid w:val="00DD7966"/>
    <w:rsid w:val="00E57C66"/>
    <w:rsid w:val="00EA2EB6"/>
    <w:rsid w:val="00ED7D63"/>
    <w:rsid w:val="00EF01D6"/>
    <w:rsid w:val="00F0689E"/>
    <w:rsid w:val="00F44E53"/>
    <w:rsid w:val="00F5136B"/>
    <w:rsid w:val="00F55788"/>
    <w:rsid w:val="00F72D55"/>
    <w:rsid w:val="00F8248C"/>
    <w:rsid w:val="00F8739C"/>
    <w:rsid w:val="00F922E9"/>
    <w:rsid w:val="00FD34ED"/>
    <w:rsid w:val="00FD5B6B"/>
    <w:rsid w:val="00FE2517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A72238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Ания Исеркепова</cp:lastModifiedBy>
  <cp:revision>12</cp:revision>
  <dcterms:created xsi:type="dcterms:W3CDTF">2019-03-17T09:20:00Z</dcterms:created>
  <dcterms:modified xsi:type="dcterms:W3CDTF">2019-06-09T11:28:00Z</dcterms:modified>
</cp:coreProperties>
</file>