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D7B65" w:rsidRDefault="00D255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_________________________</w:t>
      </w:r>
      <w:r>
        <w:rPr>
          <w:sz w:val="28"/>
          <w:u w:val="single"/>
        </w:rPr>
        <w:t>оториноларингология</w:t>
      </w:r>
      <w:r>
        <w:rPr>
          <w:sz w:val="28"/>
        </w:rPr>
        <w:t>______________________</w:t>
      </w:r>
    </w:p>
    <w:p w:rsidR="002D7B65" w:rsidRDefault="00D25529">
      <w:pPr>
        <w:ind w:firstLine="709"/>
        <w:jc w:val="center"/>
      </w:pPr>
      <w:r>
        <w:rPr>
          <w:sz w:val="28"/>
        </w:rPr>
        <w:t>(</w:t>
      </w:r>
      <w:r>
        <w:t xml:space="preserve">наименование дисциплины) 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________________________</w:t>
      </w:r>
      <w:r>
        <w:rPr>
          <w:sz w:val="28"/>
          <w:u w:val="single"/>
        </w:rPr>
        <w:t>31.05.01 Лечебное дело</w:t>
      </w:r>
      <w:r>
        <w:rPr>
          <w:sz w:val="28"/>
        </w:rPr>
        <w:t>______________________</w:t>
      </w:r>
    </w:p>
    <w:p w:rsidR="002D7B65" w:rsidRDefault="00D25529">
      <w:pPr>
        <w:ind w:firstLine="709"/>
        <w:jc w:val="center"/>
      </w:pPr>
      <w:r>
        <w:rPr>
          <w:sz w:val="28"/>
        </w:rPr>
        <w:t>(</w:t>
      </w:r>
      <w:r>
        <w:t xml:space="preserve">код, </w:t>
      </w:r>
      <w:r>
        <w:t>наименование направления подготовки (специальности))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31.05.01 Лечебное дело, утвержденной ученым советом ФГБОУ ВО </w:t>
      </w:r>
      <w:proofErr w:type="spellStart"/>
      <w:r>
        <w:rPr>
          <w:color w:val="000000"/>
          <w:sz w:val="24"/>
          <w:szCs w:val="24"/>
        </w:rPr>
        <w:t>ОрГ</w:t>
      </w:r>
      <w:r>
        <w:rPr>
          <w:color w:val="000000"/>
          <w:sz w:val="24"/>
          <w:szCs w:val="24"/>
        </w:rPr>
        <w:t>МУ</w:t>
      </w:r>
      <w:proofErr w:type="spellEnd"/>
      <w:r>
        <w:rPr>
          <w:color w:val="000000"/>
          <w:sz w:val="24"/>
          <w:szCs w:val="24"/>
        </w:rPr>
        <w:t xml:space="preserve"> Минздрава России</w:t>
      </w:r>
    </w:p>
    <w:p w:rsidR="002D7B65" w:rsidRDefault="002D7B65">
      <w:pPr>
        <w:ind w:firstLine="709"/>
        <w:jc w:val="both"/>
        <w:rPr>
          <w:color w:val="000000"/>
          <w:sz w:val="24"/>
          <w:szCs w:val="24"/>
        </w:rPr>
      </w:pPr>
    </w:p>
    <w:p w:rsidR="002D7B65" w:rsidRDefault="00D25529">
      <w:pPr>
        <w:ind w:firstLine="709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протокол № _</w:t>
      </w:r>
      <w:r w:rsidR="004B296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__  от «_</w:t>
      </w:r>
      <w:r w:rsidR="004B2964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  <w:u w:val="single"/>
        </w:rPr>
        <w:t>_» __</w:t>
      </w:r>
      <w:r w:rsidR="004B2964">
        <w:rPr>
          <w:color w:val="000000"/>
          <w:sz w:val="24"/>
          <w:szCs w:val="24"/>
          <w:u w:val="single"/>
        </w:rPr>
        <w:t>апреля</w:t>
      </w:r>
      <w:r>
        <w:rPr>
          <w:color w:val="000000"/>
          <w:sz w:val="24"/>
          <w:szCs w:val="24"/>
          <w:u w:val="single"/>
        </w:rPr>
        <w:t>____20</w:t>
      </w:r>
      <w:r w:rsidR="004B2964">
        <w:rPr>
          <w:color w:val="000000"/>
          <w:sz w:val="24"/>
          <w:szCs w:val="24"/>
          <w:u w:val="single"/>
        </w:rPr>
        <w:t>21</w:t>
      </w:r>
      <w:bookmarkStart w:id="0" w:name="_GoBack"/>
      <w:bookmarkEnd w:id="0"/>
      <w:r>
        <w:rPr>
          <w:color w:val="000000"/>
          <w:sz w:val="24"/>
          <w:szCs w:val="24"/>
          <w:u w:val="single"/>
        </w:rPr>
        <w:t xml:space="preserve"> г.___</w:t>
      </w:r>
    </w:p>
    <w:p w:rsidR="002D7B65" w:rsidRDefault="002D7B65">
      <w:pPr>
        <w:ind w:firstLine="709"/>
        <w:jc w:val="center"/>
        <w:rPr>
          <w:sz w:val="28"/>
          <w:u w:val="single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2D7B65">
      <w:pPr>
        <w:ind w:firstLine="709"/>
        <w:jc w:val="center"/>
        <w:rPr>
          <w:sz w:val="28"/>
        </w:rPr>
      </w:pPr>
    </w:p>
    <w:p w:rsidR="002D7B65" w:rsidRDefault="00D2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</w:t>
      </w:r>
      <w:r>
        <w:rPr>
          <w:sz w:val="28"/>
        </w:rPr>
        <w:t>ся.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</w:t>
      </w:r>
      <w:r>
        <w:rPr>
          <w:sz w:val="28"/>
        </w:rPr>
        <w:t xml:space="preserve">ания общекультурных (универсальных), </w:t>
      </w:r>
      <w:proofErr w:type="gramStart"/>
      <w:r>
        <w:rPr>
          <w:sz w:val="28"/>
        </w:rPr>
        <w:t>общепрофессиональных  и</w:t>
      </w:r>
      <w:proofErr w:type="gramEnd"/>
      <w:r>
        <w:rPr>
          <w:sz w:val="28"/>
        </w:rPr>
        <w:t xml:space="preserve">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</w:t>
      </w:r>
      <w:r>
        <w:rPr>
          <w:sz w:val="28"/>
        </w:rPr>
        <w:t>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</w:t>
      </w:r>
      <w:r>
        <w:rPr>
          <w:sz w:val="28"/>
        </w:rPr>
        <w:t xml:space="preserve">исциплины и формой организации обучения (лекция, семинар, практическое занятие, др.).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закрепление, систематизирование знаниями по оториноларингологии, формирование умений работы с пациентом, страдающим заболеваниями Л</w:t>
      </w:r>
      <w:r>
        <w:rPr>
          <w:sz w:val="28"/>
        </w:rPr>
        <w:t xml:space="preserve">ОР органов. </w:t>
      </w: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D2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 xml:space="preserve">в фонде оценочных средств для проведения текущего контроля успеваемости и промежуточной аттестации по </w:t>
      </w:r>
      <w:r>
        <w:rPr>
          <w:b/>
          <w:i/>
          <w:sz w:val="28"/>
        </w:rPr>
        <w:t>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2D7B65" w:rsidRDefault="00D2552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</w:t>
      </w:r>
      <w:r>
        <w:rPr>
          <w:sz w:val="28"/>
        </w:rPr>
        <w:t xml:space="preserve">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>« Перечень</w:t>
      </w:r>
      <w:proofErr w:type="gramEnd"/>
      <w:r>
        <w:rPr>
          <w:sz w:val="28"/>
        </w:rPr>
        <w:t xml:space="preserve"> основной и дополнительной учебной литературы, необходимой для освоения дисциплины (модуля)». </w:t>
      </w:r>
    </w:p>
    <w:p w:rsidR="002D7B65" w:rsidRDefault="002D7B65">
      <w:pPr>
        <w:ind w:firstLine="709"/>
        <w:jc w:val="both"/>
        <w:rPr>
          <w:b/>
          <w:sz w:val="28"/>
        </w:rPr>
      </w:pPr>
    </w:p>
    <w:p w:rsidR="002D7B65" w:rsidRDefault="002D7B65">
      <w:pPr>
        <w:ind w:firstLine="709"/>
        <w:jc w:val="both"/>
        <w:rPr>
          <w:sz w:val="8"/>
        </w:rPr>
      </w:pPr>
    </w:p>
    <w:tbl>
      <w:tblPr>
        <w:tblW w:w="10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94"/>
        <w:gridCol w:w="2525"/>
        <w:gridCol w:w="2640"/>
        <w:gridCol w:w="1972"/>
        <w:gridCol w:w="2090"/>
      </w:tblGrid>
      <w:tr w:rsidR="002D7B65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2D7B65" w:rsidRDefault="00D25529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r>
              <w:rPr>
                <w:sz w:val="28"/>
              </w:rPr>
              <w:t>контроля самостоятельной работы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2D7B65" w:rsidRDefault="00D25529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D7B65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7B65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right="-293"/>
              <w:jc w:val="center"/>
            </w:pPr>
            <w:r>
              <w:rPr>
                <w:i/>
                <w:sz w:val="28"/>
              </w:rPr>
              <w:t>Самостоятельная работа в рамках модуля и подготовки к практическим занятиям</w:t>
            </w:r>
            <w:r>
              <w:rPr>
                <w:i/>
                <w:sz w:val="28"/>
                <w:vertAlign w:val="superscript"/>
              </w:rPr>
              <w:t xml:space="preserve"> </w:t>
            </w:r>
          </w:p>
        </w:tc>
      </w:tr>
      <w:tr w:rsidR="002D7B65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8"/>
              </w:rPr>
              <w:t>Модуль 1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Клиническая анатомия,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физиология и методы исследования ЛОР - органов. Написание клинической истории болезни. Рубежный контроль</w:t>
            </w:r>
            <w:r>
              <w:rPr>
                <w:sz w:val="28"/>
              </w:rPr>
              <w:t>».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lastRenderedPageBreak/>
              <w:t xml:space="preserve">работа с конспектом лекции; работа над учебным материалом (учебник, дополнительной литературы, </w:t>
            </w:r>
            <w:r>
              <w:rPr>
                <w:sz w:val="28"/>
              </w:rPr>
              <w:t xml:space="preserve">учебного пособия); </w:t>
            </w:r>
          </w:p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 решение задач и упражнений, указанных в учебном пособии «Основы оториноларингологии»; овладение практическими навыками.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2D7B65" w:rsidRDefault="00D25529">
            <w:pPr>
              <w:ind w:firstLine="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практических навыков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 –на практических занятиях;</w:t>
            </w:r>
          </w:p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внеауд</w:t>
            </w:r>
            <w:r>
              <w:rPr>
                <w:sz w:val="28"/>
              </w:rPr>
              <w:t>иторная – КСР, на базе практической подготовки;</w:t>
            </w:r>
          </w:p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-в Информационной электронно-образовательной среде – Информационной системе </w:t>
            </w:r>
            <w:proofErr w:type="spellStart"/>
            <w:r>
              <w:rPr>
                <w:sz w:val="28"/>
              </w:rPr>
              <w:t>ОрГМУ</w:t>
            </w:r>
            <w:proofErr w:type="spellEnd"/>
            <w:r>
              <w:rPr>
                <w:sz w:val="28"/>
              </w:rPr>
              <w:t xml:space="preserve">. </w:t>
            </w:r>
          </w:p>
          <w:p w:rsidR="002D7B65" w:rsidRDefault="002D7B65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2D7B65"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 2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Заболевания носа, околоносовых пазух, глотки, пищевода, гортани, трахеи, уха. Неотложная помощь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оториноларингологии. Амбулаторный прием больных. Итоговый контроль</w:t>
            </w:r>
            <w:r>
              <w:rPr>
                <w:sz w:val="28"/>
              </w:rPr>
              <w:t>».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для овладения, закрепления и систематизации знаний</w:t>
            </w:r>
            <w:r>
              <w:rPr>
                <w:sz w:val="28"/>
              </w:rPr>
              <w:t xml:space="preserve">: работа с конспектом лекции; работа над учебным материалом (учебник, дополнительной литературы, учебного пособия); </w:t>
            </w:r>
          </w:p>
          <w:p w:rsidR="002D7B65" w:rsidRDefault="00D25529">
            <w:pPr>
              <w:ind w:right="-7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для формирования</w:t>
            </w:r>
            <w:r>
              <w:rPr>
                <w:i/>
                <w:sz w:val="28"/>
              </w:rPr>
              <w:t xml:space="preserve"> умений</w:t>
            </w:r>
            <w:r>
              <w:rPr>
                <w:sz w:val="28"/>
              </w:rPr>
              <w:t>: решение задач и упражнений, указанных в учебном пособии «Основы оториноларингологии»; овладение практическими навыками, написание клинической истории болезни.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ind w:right="-95" w:firstLine="4"/>
              <w:jc w:val="both"/>
              <w:rPr>
                <w:sz w:val="28"/>
              </w:rPr>
            </w:pPr>
            <w:r>
              <w:rPr>
                <w:sz w:val="28"/>
              </w:rPr>
              <w:t>Проверка историй болезни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 – на практических занятиях;</w:t>
            </w:r>
          </w:p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внеаудиторная – КСР, </w:t>
            </w:r>
            <w:r>
              <w:rPr>
                <w:sz w:val="28"/>
              </w:rPr>
              <w:t>на базе практической подготовки;</w:t>
            </w:r>
          </w:p>
          <w:p w:rsidR="002D7B65" w:rsidRDefault="00D255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-в Информационной электронно-образовательной среде – Информационной системе </w:t>
            </w:r>
            <w:proofErr w:type="spellStart"/>
            <w:r>
              <w:rPr>
                <w:sz w:val="28"/>
              </w:rPr>
              <w:t>ОрГМУ</w:t>
            </w:r>
            <w:proofErr w:type="spellEnd"/>
            <w:r>
              <w:rPr>
                <w:sz w:val="28"/>
              </w:rPr>
              <w:t xml:space="preserve">. </w:t>
            </w:r>
          </w:p>
          <w:p w:rsidR="002D7B65" w:rsidRDefault="002D7B65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  <w:highlight w:val="yellow"/>
        </w:rPr>
      </w:pPr>
    </w:p>
    <w:p w:rsidR="002D7B65" w:rsidRDefault="00D25529">
      <w:pPr>
        <w:rPr>
          <w:b/>
          <w:sz w:val="28"/>
        </w:rPr>
      </w:pPr>
      <w:r>
        <w:br w:type="page"/>
      </w:r>
    </w:p>
    <w:p w:rsidR="002D7B65" w:rsidRDefault="00D25529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2D7B65" w:rsidRDefault="00D255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обучающимся </w:t>
      </w:r>
    </w:p>
    <w:p w:rsidR="002D7B65" w:rsidRDefault="00D255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D7B65" w:rsidRDefault="002D7B65">
      <w:pPr>
        <w:ind w:firstLine="709"/>
        <w:jc w:val="both"/>
        <w:rPr>
          <w:color w:val="000000"/>
          <w:sz w:val="10"/>
          <w:szCs w:val="28"/>
        </w:rPr>
      </w:pP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</w:t>
      </w:r>
      <w:r>
        <w:rPr>
          <w:color w:val="000000"/>
          <w:sz w:val="28"/>
          <w:szCs w:val="28"/>
        </w:rPr>
        <w:t xml:space="preserve">оэтому продумайте, каким должен быть ваш конспект, чтобы можно было быстрее и успешнее решать следующие задачи: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</w:t>
      </w:r>
      <w:r>
        <w:rPr>
          <w:color w:val="000000"/>
          <w:sz w:val="28"/>
          <w:szCs w:val="28"/>
        </w:rPr>
        <w:t>лять основные идеи, делать выводы;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</w:t>
      </w:r>
      <w:r>
        <w:rPr>
          <w:color w:val="000000"/>
          <w:sz w:val="28"/>
          <w:szCs w:val="28"/>
        </w:rPr>
        <w:t xml:space="preserve">», в ходе работы над конспектом целесообразно делать пометки также карандашом: </w:t>
      </w:r>
    </w:p>
    <w:p w:rsidR="002D7B65" w:rsidRDefault="00D2552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:rsidR="002D7B65" w:rsidRDefault="00D25529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[ -</w:t>
      </w:r>
      <w:proofErr w:type="gramEnd"/>
      <w:r>
        <w:rPr>
          <w:color w:val="000000"/>
          <w:sz w:val="28"/>
          <w:szCs w:val="28"/>
        </w:rPr>
        <w:t xml:space="preserve"> сделать выписк</w:t>
      </w:r>
      <w:r>
        <w:rPr>
          <w:color w:val="000000"/>
          <w:sz w:val="28"/>
          <w:szCs w:val="28"/>
        </w:rPr>
        <w:t>и;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[ ]</w:t>
      </w:r>
      <w:proofErr w:type="gramEnd"/>
      <w:r>
        <w:rPr>
          <w:color w:val="000000"/>
          <w:sz w:val="28"/>
          <w:szCs w:val="28"/>
        </w:rPr>
        <w:t xml:space="preserve"> – выписки сделаны;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9B50AD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80340" cy="180340"/>
                <wp:effectExtent l="5715" t="5715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7pt;margin-top:12.85pt;width:14.1pt;height:14.1pt" wp14:anchorId="59B50ADD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D63150B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80340" cy="180340"/>
                <wp:effectExtent l="15240" t="16510" r="14605" b="133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AutoShape 3" fillcolor="white" stroked="t" style="position:absolute;margin-left:27pt;margin-top:3.25pt;width:14.1pt;height:14.1pt" wp14:anchorId="5D63150B" type="shapetype_5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 w:rsidR="002D7B65" w:rsidRDefault="002D7B65">
      <w:pPr>
        <w:ind w:firstLine="709"/>
        <w:jc w:val="both"/>
        <w:rPr>
          <w:color w:val="000000"/>
          <w:sz w:val="28"/>
          <w:szCs w:val="28"/>
        </w:rPr>
      </w:pP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 конспектировании лучше использовать тетради большого формата – для удобства и свободы в </w:t>
      </w:r>
      <w:r>
        <w:rPr>
          <w:color w:val="000000"/>
          <w:sz w:val="28"/>
          <w:szCs w:val="28"/>
        </w:rPr>
        <w:t>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</w:t>
      </w:r>
      <w:r>
        <w:rPr>
          <w:color w:val="000000"/>
          <w:sz w:val="28"/>
          <w:szCs w:val="28"/>
        </w:rPr>
        <w:t xml:space="preserve">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</w:t>
      </w:r>
      <w:r>
        <w:rPr>
          <w:color w:val="000000"/>
          <w:sz w:val="28"/>
          <w:szCs w:val="28"/>
        </w:rPr>
        <w:t xml:space="preserve">влений и заметок. Это либо широкие поля, либо чистые страницы.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</w:t>
      </w:r>
      <w:r>
        <w:rPr>
          <w:color w:val="000000"/>
          <w:sz w:val="28"/>
          <w:szCs w:val="28"/>
        </w:rPr>
        <w:t xml:space="preserve">годный для чтения и усвоения текст.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При конспектировании действует принцип </w:t>
      </w:r>
      <w:proofErr w:type="spellStart"/>
      <w:r>
        <w:rPr>
          <w:color w:val="000000"/>
          <w:sz w:val="28"/>
          <w:szCs w:val="28"/>
        </w:rPr>
        <w:t>дистантного</w:t>
      </w:r>
      <w:proofErr w:type="spellEnd"/>
      <w:r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</w:t>
      </w:r>
      <w:r>
        <w:rPr>
          <w:color w:val="000000"/>
          <w:sz w:val="28"/>
          <w:szCs w:val="28"/>
        </w:rPr>
        <w:t xml:space="preserve">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Огромную помощь в понимании</w:t>
      </w:r>
      <w:r>
        <w:rPr>
          <w:color w:val="000000"/>
          <w:sz w:val="28"/>
          <w:szCs w:val="28"/>
        </w:rPr>
        <w:t xml:space="preserve"> логики излагаемого материала оказывает рубрикация, т.е. </w:t>
      </w:r>
      <w:proofErr w:type="spellStart"/>
      <w:r>
        <w:rPr>
          <w:color w:val="000000"/>
          <w:sz w:val="28"/>
          <w:szCs w:val="28"/>
        </w:rPr>
        <w:t>нумерование</w:t>
      </w:r>
      <w:proofErr w:type="spellEnd"/>
      <w:r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</w:t>
      </w:r>
      <w:r>
        <w:rPr>
          <w:color w:val="000000"/>
          <w:sz w:val="28"/>
          <w:szCs w:val="28"/>
        </w:rPr>
        <w:t xml:space="preserve">или часть лекции были обозначены своим знаком (цифрой, буквой) и отделены от других.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</w:t>
      </w:r>
      <w:r>
        <w:rPr>
          <w:color w:val="000000"/>
          <w:spacing w:val="-4"/>
          <w:sz w:val="28"/>
          <w:szCs w:val="28"/>
        </w:rPr>
        <w:t>тью «развернуть» конспект в исходный текст по формуле «</w:t>
      </w:r>
      <w:proofErr w:type="spellStart"/>
      <w:r>
        <w:rPr>
          <w:color w:val="000000"/>
          <w:spacing w:val="-4"/>
          <w:sz w:val="28"/>
          <w:szCs w:val="28"/>
        </w:rPr>
        <w:t>конспект+память</w:t>
      </w:r>
      <w:proofErr w:type="spellEnd"/>
      <w:r>
        <w:rPr>
          <w:color w:val="000000"/>
          <w:spacing w:val="-4"/>
          <w:sz w:val="28"/>
          <w:szCs w:val="28"/>
        </w:rPr>
        <w:t>=исходный текст</w:t>
      </w:r>
      <w:r>
        <w:rPr>
          <w:color w:val="000000"/>
          <w:sz w:val="28"/>
          <w:szCs w:val="28"/>
        </w:rPr>
        <w:t>».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</w:t>
      </w:r>
      <w:r>
        <w:rPr>
          <w:color w:val="000000"/>
          <w:sz w:val="28"/>
          <w:szCs w:val="28"/>
        </w:rPr>
        <w:t>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</w:t>
      </w:r>
      <w:r>
        <w:rPr>
          <w:color w:val="000000"/>
          <w:sz w:val="28"/>
          <w:szCs w:val="28"/>
        </w:rPr>
        <w:t xml:space="preserve">я. Обращайте на них внимание.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</w:t>
      </w:r>
      <w:r>
        <w:rPr>
          <w:color w:val="000000"/>
          <w:sz w:val="28"/>
          <w:szCs w:val="28"/>
        </w:rPr>
        <w:t>г которых группируется весь остальной материал. Очень важно выделить и четко зафиксировать эти идеи.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лекции наиболее подробно записываются план, источники, понятия, определения, основные формулы, схемы, принципы, методы, законы, гипотезы, оценки, выв</w:t>
      </w:r>
      <w:r>
        <w:rPr>
          <w:color w:val="000000"/>
          <w:sz w:val="28"/>
          <w:szCs w:val="28"/>
        </w:rPr>
        <w:t xml:space="preserve">оды.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</w:t>
      </w:r>
      <w:r>
        <w:rPr>
          <w:color w:val="000000"/>
          <w:sz w:val="28"/>
          <w:szCs w:val="28"/>
        </w:rPr>
        <w:t xml:space="preserve">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</w:t>
      </w:r>
      <w:r>
        <w:rPr>
          <w:color w:val="000000"/>
          <w:sz w:val="28"/>
          <w:szCs w:val="28"/>
        </w:rPr>
        <w:t>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</w:t>
      </w:r>
      <w:r>
        <w:rPr>
          <w:color w:val="000000"/>
          <w:sz w:val="28"/>
          <w:szCs w:val="28"/>
        </w:rPr>
        <w:t xml:space="preserve">м поле обводят, подчеркивают или обозначают ключевые аспекты лекций.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</w:t>
      </w:r>
      <w:r>
        <w:rPr>
          <w:color w:val="000000"/>
          <w:spacing w:val="-2"/>
          <w:sz w:val="28"/>
          <w:szCs w:val="28"/>
        </w:rPr>
        <w:t>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</w:t>
      </w:r>
      <w:r>
        <w:rPr>
          <w:color w:val="000000"/>
          <w:spacing w:val="-4"/>
          <w:sz w:val="28"/>
          <w:szCs w:val="28"/>
        </w:rPr>
        <w:t>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:rsidR="002D7B65" w:rsidRDefault="00D255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</w:t>
      </w:r>
      <w:r>
        <w:rPr>
          <w:color w:val="000000"/>
          <w:sz w:val="28"/>
          <w:szCs w:val="28"/>
        </w:rPr>
        <w:t xml:space="preserve">а следующих лекциях учитесь формулировать вопросы, не отвлекаясь от восприятия содержания. </w:t>
      </w: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D255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:rsidR="002D7B65" w:rsidRDefault="00D255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практическим занятиям </w:t>
      </w:r>
    </w:p>
    <w:p w:rsidR="002D7B65" w:rsidRDefault="002D7B65">
      <w:pPr>
        <w:ind w:firstLine="709"/>
        <w:jc w:val="both"/>
        <w:rPr>
          <w:sz w:val="8"/>
          <w:szCs w:val="28"/>
        </w:rPr>
      </w:pP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</w:t>
      </w:r>
      <w:r>
        <w:rPr>
          <w:i/>
          <w:sz w:val="28"/>
        </w:rPr>
        <w:t xml:space="preserve">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логической последователь</w:t>
      </w:r>
      <w:r>
        <w:rPr>
          <w:sz w:val="28"/>
        </w:rPr>
        <w:t xml:space="preserve">ности.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D7B65" w:rsidRDefault="00D2552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Рекомендации </w:t>
      </w:r>
      <w:r>
        <w:rPr>
          <w:i/>
          <w:sz w:val="28"/>
        </w:rPr>
        <w:t>по построению композиции устного ответа: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установить контакт </w:t>
      </w:r>
      <w:r>
        <w:rPr>
          <w:sz w:val="28"/>
        </w:rPr>
        <w:t>со слушателями путем указания на общие взгляды, прежний опыт.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раскрыть известные ранее попытки </w:t>
      </w:r>
      <w:r>
        <w:rPr>
          <w:sz w:val="28"/>
        </w:rPr>
        <w:t>её решения.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</w:t>
      </w:r>
      <w:r>
        <w:rPr>
          <w:sz w:val="28"/>
        </w:rPr>
        <w:t>й;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обосновать, к</w:t>
      </w:r>
      <w:r>
        <w:rPr>
          <w:sz w:val="28"/>
        </w:rPr>
        <w:t xml:space="preserve">аковы последствия в случае отказа от вашего подхода к решению проблемы. </w:t>
      </w:r>
    </w:p>
    <w:p w:rsidR="002D7B65" w:rsidRDefault="00D25529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D7B65" w:rsidRDefault="00D25529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2D7B65" w:rsidRDefault="00D25529">
      <w:pPr>
        <w:pStyle w:val="ac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 Читая изучаемый материал в первый раз, подразделяйте его на основные смысловые </w:t>
      </w:r>
      <w:r>
        <w:rPr>
          <w:sz w:val="28"/>
          <w:szCs w:val="22"/>
        </w:rPr>
        <w:t>части, выделяйте главные мысли, выводы.</w:t>
      </w:r>
    </w:p>
    <w:p w:rsidR="002D7B65" w:rsidRDefault="00D25529">
      <w:pPr>
        <w:pStyle w:val="ac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D7B65" w:rsidRDefault="00D25529">
      <w:pPr>
        <w:pStyle w:val="ac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</w:t>
      </w:r>
      <w:r>
        <w:rPr>
          <w:sz w:val="28"/>
          <w:szCs w:val="22"/>
        </w:rPr>
        <w:t>атериала (тезисы) последовательно и кратко излагайте своими словами или приводите в виде цитат.</w:t>
      </w:r>
    </w:p>
    <w:p w:rsidR="002D7B65" w:rsidRDefault="00D25529">
      <w:pPr>
        <w:pStyle w:val="ac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D7B65" w:rsidRDefault="00D25529">
      <w:pPr>
        <w:pStyle w:val="ac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 Отдельные слова и целые предложения пишите </w:t>
      </w:r>
      <w:r>
        <w:rPr>
          <w:sz w:val="28"/>
          <w:szCs w:val="22"/>
        </w:rPr>
        <w:t>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D7B65" w:rsidRDefault="00D25529">
      <w:pPr>
        <w:pStyle w:val="ac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</w:t>
      </w:r>
      <w:r>
        <w:rPr>
          <w:sz w:val="28"/>
          <w:szCs w:val="22"/>
        </w:rPr>
        <w:t>ых мест.</w:t>
      </w:r>
    </w:p>
    <w:p w:rsidR="002D7B65" w:rsidRDefault="00D255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Информационного поиска </w:t>
      </w:r>
    </w:p>
    <w:p w:rsidR="002D7B65" w:rsidRDefault="00D2552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(поиска неструктурированной информации)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Задачи современного информационного поиска: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решение вопросов моделирования;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классификация документов;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фильтрация, классификация документов;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извлечение информации (аннотирование и реферирование документов);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выбор информационно-поискового языка запроса в поисковых системах.</w:t>
      </w:r>
      <w:r>
        <w:rPr>
          <w:sz w:val="28"/>
        </w:rPr>
        <w:t xml:space="preserve">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>
        <w:rPr>
          <w:sz w:val="28"/>
        </w:rPr>
        <w:t xml:space="preserve">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- поиск библиографический – поиск необходимых сведений об ис</w:t>
      </w:r>
      <w:r>
        <w:rPr>
          <w:sz w:val="28"/>
        </w:rPr>
        <w:t xml:space="preserve">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поиск самих информационных источников (документов и изданий), в которых есть или </w:t>
      </w:r>
      <w:r>
        <w:rPr>
          <w:sz w:val="28"/>
        </w:rPr>
        <w:t xml:space="preserve">может содержаться нужная информация;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2D7B65" w:rsidRDefault="00D2552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определение области знаний;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2) выбор типа и источников данных;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3) сбор материалов, необходимых для наполнения информационной модели;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4) отбор наиболее полезной информации;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5) выбор метода обработки информации (классификация, кластеризация, регрессионный</w:t>
      </w:r>
      <w:r>
        <w:rPr>
          <w:sz w:val="28"/>
        </w:rPr>
        <w:t xml:space="preserve"> анализ и т.д.);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6) выбор алгоритма поиска закономерностей; 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>8) творческая интерпретация полученных результатов.</w:t>
      </w:r>
    </w:p>
    <w:p w:rsidR="002D7B65" w:rsidRDefault="002D7B65">
      <w:pPr>
        <w:ind w:firstLine="709"/>
        <w:jc w:val="center"/>
        <w:rPr>
          <w:b/>
          <w:sz w:val="28"/>
        </w:rPr>
      </w:pPr>
    </w:p>
    <w:p w:rsidR="002D7B65" w:rsidRDefault="00D25529">
      <w:pPr>
        <w:ind w:firstLine="709"/>
        <w:jc w:val="center"/>
      </w:pPr>
      <w:r>
        <w:rPr>
          <w:b/>
          <w:sz w:val="28"/>
        </w:rPr>
        <w:t xml:space="preserve">Методические указания по освоению практических навыков и написанию клинической истории болезни содержатся в учебном пособии «Основы оториноларингологии» в </w:t>
      </w:r>
      <w:proofErr w:type="gramStart"/>
      <w:r>
        <w:rPr>
          <w:b/>
          <w:sz w:val="28"/>
        </w:rPr>
        <w:t>ВЭБС .</w:t>
      </w:r>
      <w:proofErr w:type="gramEnd"/>
      <w:r>
        <w:rPr>
          <w:b/>
          <w:sz w:val="28"/>
        </w:rPr>
        <w:t xml:space="preserve"> </w:t>
      </w: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D2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D7B65" w:rsidRDefault="00D25529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</w:t>
      </w:r>
      <w:r>
        <w:rPr>
          <w:sz w:val="28"/>
        </w:rPr>
        <w:t>чение по дисциплине (модулю)», в информационной системе Университета.</w:t>
      </w: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  <w:rPr>
          <w:sz w:val="28"/>
        </w:rPr>
      </w:pPr>
    </w:p>
    <w:p w:rsidR="002D7B65" w:rsidRDefault="002D7B65">
      <w:pPr>
        <w:ind w:firstLine="709"/>
        <w:jc w:val="both"/>
      </w:pPr>
    </w:p>
    <w:sectPr w:rsidR="002D7B65">
      <w:footerReference w:type="default" r:id="rId6"/>
      <w:pgSz w:w="11906" w:h="16838"/>
      <w:pgMar w:top="567" w:right="567" w:bottom="766" w:left="1134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29" w:rsidRDefault="00D25529">
      <w:r>
        <w:separator/>
      </w:r>
    </w:p>
  </w:endnote>
  <w:endnote w:type="continuationSeparator" w:id="0">
    <w:p w:rsidR="00D25529" w:rsidRDefault="00D2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65" w:rsidRDefault="00D25529">
    <w:pPr>
      <w:pStyle w:val="af5"/>
      <w:jc w:val="right"/>
    </w:pPr>
    <w:r>
      <w:fldChar w:fldCharType="begin"/>
    </w:r>
    <w:r>
      <w:instrText>PAGE</w:instrText>
    </w:r>
    <w:r>
      <w:fldChar w:fldCharType="separate"/>
    </w:r>
    <w:r w:rsidR="004B2964">
      <w:rPr>
        <w:noProof/>
      </w:rPr>
      <w:t>8</w:t>
    </w:r>
    <w:r>
      <w:fldChar w:fldCharType="end"/>
    </w:r>
  </w:p>
  <w:p w:rsidR="002D7B65" w:rsidRDefault="002D7B6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29" w:rsidRDefault="00D25529">
      <w:r>
        <w:separator/>
      </w:r>
    </w:p>
  </w:footnote>
  <w:footnote w:type="continuationSeparator" w:id="0">
    <w:p w:rsidR="00D25529" w:rsidRDefault="00D2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65"/>
    <w:rsid w:val="002D7B65"/>
    <w:rsid w:val="004B2964"/>
    <w:rsid w:val="00D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6AC92-F254-4BC5-B1FF-7B47149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sz w:val="32"/>
    </w:rPr>
  </w:style>
  <w:style w:type="paragraph" w:styleId="3">
    <w:name w:val="heading 3"/>
    <w:basedOn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C35B2E"/>
    <w:rPr>
      <w:sz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C35B2E"/>
  </w:style>
  <w:style w:type="character" w:customStyle="1" w:styleId="10">
    <w:name w:val="Заголовок 1 Знак"/>
    <w:link w:val="1"/>
    <w:qFormat/>
    <w:rsid w:val="00C35B2E"/>
    <w:rPr>
      <w:rFonts w:ascii="Cambria" w:hAnsi="Cambria"/>
      <w:b/>
      <w:sz w:val="32"/>
    </w:rPr>
  </w:style>
  <w:style w:type="character" w:customStyle="1" w:styleId="30">
    <w:name w:val="Заголовок 3 Знак"/>
    <w:link w:val="3"/>
    <w:qFormat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apple-converted-space">
    <w:name w:val="apple-converted-space"/>
    <w:qFormat/>
    <w:rsid w:val="00C35B2E"/>
  </w:style>
  <w:style w:type="character" w:customStyle="1" w:styleId="mw-headline">
    <w:name w:val="mw-headline"/>
    <w:qFormat/>
    <w:rsid w:val="00C35B2E"/>
  </w:style>
  <w:style w:type="character" w:customStyle="1" w:styleId="a5">
    <w:name w:val="Верхний колонтитул Знак"/>
    <w:basedOn w:val="a0"/>
    <w:uiPriority w:val="99"/>
    <w:qFormat/>
    <w:rsid w:val="00FD5B6B"/>
  </w:style>
  <w:style w:type="character" w:customStyle="1" w:styleId="a6">
    <w:name w:val="Нижний колонтитул Знак"/>
    <w:basedOn w:val="a0"/>
    <w:uiPriority w:val="99"/>
    <w:qFormat/>
    <w:rsid w:val="00FD5B6B"/>
  </w:style>
  <w:style w:type="character" w:customStyle="1" w:styleId="40">
    <w:name w:val="Заголовок 4 Знак"/>
    <w:basedOn w:val="a0"/>
    <w:link w:val="4"/>
    <w:uiPriority w:val="9"/>
    <w:semiHidden/>
    <w:qFormat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qFormat/>
    <w:rsid w:val="00103265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03265"/>
  </w:style>
  <w:style w:type="character" w:customStyle="1" w:styleId="a9">
    <w:name w:val="Тема примечания Знак"/>
    <w:basedOn w:val="a8"/>
    <w:uiPriority w:val="99"/>
    <w:semiHidden/>
    <w:qFormat/>
    <w:rsid w:val="00103265"/>
    <w:rPr>
      <w:b/>
      <w:bCs/>
    </w:rPr>
  </w:style>
  <w:style w:type="character" w:customStyle="1" w:styleId="aa">
    <w:name w:val="Текст выноски Знак"/>
    <w:basedOn w:val="a0"/>
    <w:uiPriority w:val="99"/>
    <w:semiHidden/>
    <w:qFormat/>
    <w:rsid w:val="0010326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35B2E"/>
    <w:pPr>
      <w:spacing w:after="120"/>
    </w:pPr>
    <w:rPr>
      <w:sz w:val="24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Body Text Indent"/>
    <w:basedOn w:val="a"/>
    <w:uiPriority w:val="99"/>
    <w:semiHidden/>
    <w:unhideWhenUsed/>
    <w:rsid w:val="00C35B2E"/>
    <w:pPr>
      <w:spacing w:after="120"/>
      <w:ind w:left="283"/>
    </w:pPr>
  </w:style>
  <w:style w:type="paragraph" w:customStyle="1" w:styleId="af1">
    <w:name w:val="Знак Знак Знак Знак"/>
    <w:basedOn w:val="a"/>
    <w:qFormat/>
    <w:rsid w:val="00C35B2E"/>
    <w:pPr>
      <w:spacing w:beforeAutospacing="1" w:afterAutospacing="1"/>
    </w:pPr>
    <w:rPr>
      <w:rFonts w:ascii="Tahoma" w:hAnsi="Tahoma"/>
      <w:lang w:val="en-US" w:eastAsia="en-US"/>
    </w:rPr>
  </w:style>
  <w:style w:type="paragraph" w:styleId="af2">
    <w:name w:val="Normal (Web)"/>
    <w:basedOn w:val="a"/>
    <w:uiPriority w:val="34"/>
    <w:qFormat/>
    <w:rsid w:val="00C35B2E"/>
    <w:pPr>
      <w:tabs>
        <w:tab w:val="left" w:pos="720"/>
      </w:tabs>
      <w:spacing w:beforeAutospacing="1" w:afterAutospacing="1"/>
      <w:ind w:left="720" w:hanging="36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paragraph" w:styleId="af4">
    <w:name w:val="header"/>
    <w:basedOn w:val="a"/>
    <w:uiPriority w:val="99"/>
    <w:unhideWhenUsed/>
    <w:rsid w:val="00FD5B6B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FD5B6B"/>
    <w:pPr>
      <w:tabs>
        <w:tab w:val="center" w:pos="4677"/>
        <w:tab w:val="right" w:pos="9355"/>
      </w:tabs>
    </w:pPr>
  </w:style>
  <w:style w:type="paragraph" w:styleId="af6">
    <w:name w:val="annotation text"/>
    <w:basedOn w:val="a"/>
    <w:uiPriority w:val="99"/>
    <w:semiHidden/>
    <w:unhideWhenUsed/>
    <w:qFormat/>
    <w:rsid w:val="00103265"/>
  </w:style>
  <w:style w:type="paragraph" w:styleId="af7">
    <w:name w:val="annotation subject"/>
    <w:basedOn w:val="af6"/>
    <w:uiPriority w:val="99"/>
    <w:semiHidden/>
    <w:unhideWhenUsed/>
    <w:qFormat/>
    <w:rsid w:val="00103265"/>
    <w:rPr>
      <w:b/>
      <w:bCs/>
    </w:rPr>
  </w:style>
  <w:style w:type="paragraph" w:styleId="af8">
    <w:name w:val="Balloon Text"/>
    <w:basedOn w:val="a"/>
    <w:uiPriority w:val="99"/>
    <w:semiHidden/>
    <w:unhideWhenUsed/>
    <w:qFormat/>
    <w:rsid w:val="00103265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dc:description/>
  <cp:lastModifiedBy>User</cp:lastModifiedBy>
  <cp:revision>2</cp:revision>
  <dcterms:created xsi:type="dcterms:W3CDTF">2023-10-29T06:15:00Z</dcterms:created>
  <dcterms:modified xsi:type="dcterms:W3CDTF">2023-10-29T06:15:00Z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