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D816B2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 w:rsidR="00D816B2">
        <w:rPr>
          <w:b/>
          <w:sz w:val="28"/>
        </w:rPr>
        <w:t xml:space="preserve"> </w:t>
      </w:r>
    </w:p>
    <w:p w:rsidR="004B2C94" w:rsidRPr="004B2C94" w:rsidRDefault="00D816B2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  <w:r w:rsidR="004B2C94">
        <w:rPr>
          <w:b/>
          <w:sz w:val="28"/>
        </w:rPr>
        <w:t xml:space="preserve"> </w:t>
      </w:r>
      <w:r w:rsidR="006C31C2">
        <w:rPr>
          <w:b/>
          <w:sz w:val="28"/>
        </w:rPr>
        <w:t>«ОПТИЧЕСКАЯ КОГЕРЕНТНАЯ ТОМОГРАФИЯ»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6C31C2">
      <w:pPr>
        <w:ind w:firstLine="709"/>
        <w:rPr>
          <w:b/>
          <w:sz w:val="28"/>
        </w:rPr>
      </w:pPr>
    </w:p>
    <w:p w:rsidR="006C31C2" w:rsidRPr="00D816B2" w:rsidRDefault="006C31C2" w:rsidP="006C31C2">
      <w:pPr>
        <w:ind w:firstLine="709"/>
        <w:rPr>
          <w:b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D816B2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D816B2" w:rsidRDefault="004B2C94" w:rsidP="00F5136B">
      <w:pPr>
        <w:ind w:firstLine="709"/>
        <w:jc w:val="center"/>
        <w:rPr>
          <w:i/>
          <w:sz w:val="28"/>
        </w:rPr>
      </w:pPr>
    </w:p>
    <w:p w:rsidR="004B2C94" w:rsidRPr="00D816B2" w:rsidRDefault="00D816B2" w:rsidP="004B2C94">
      <w:pPr>
        <w:ind w:firstLine="709"/>
        <w:jc w:val="center"/>
        <w:rPr>
          <w:i/>
        </w:rPr>
      </w:pPr>
      <w:r w:rsidRPr="00D816B2">
        <w:rPr>
          <w:i/>
          <w:sz w:val="28"/>
        </w:rPr>
        <w:t>31.08.59 Офтальмология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D816B2">
      <w:pPr>
        <w:ind w:firstLine="709"/>
        <w:jc w:val="both"/>
        <w:rPr>
          <w:sz w:val="28"/>
        </w:rPr>
      </w:pPr>
    </w:p>
    <w:p w:rsidR="00FD5B6B" w:rsidRPr="00D816B2" w:rsidRDefault="00FD5B6B" w:rsidP="00D816B2">
      <w:pPr>
        <w:ind w:firstLine="709"/>
        <w:jc w:val="both"/>
        <w:rPr>
          <w:i/>
          <w:sz w:val="24"/>
          <w:szCs w:val="24"/>
        </w:rPr>
      </w:pPr>
      <w:r w:rsidRPr="00D816B2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D816B2" w:rsidRPr="00D816B2">
        <w:rPr>
          <w:i/>
          <w:sz w:val="24"/>
          <w:szCs w:val="24"/>
        </w:rPr>
        <w:t xml:space="preserve">31.08.59 Офтальмология, </w:t>
      </w:r>
      <w:r w:rsidRPr="00D816B2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D816B2">
        <w:rPr>
          <w:color w:val="000000"/>
          <w:sz w:val="24"/>
          <w:szCs w:val="24"/>
        </w:rPr>
        <w:t>ОрГМУ</w:t>
      </w:r>
      <w:proofErr w:type="spellEnd"/>
      <w:r w:rsidRPr="00D816B2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24330B" w:rsidRDefault="0024330B" w:rsidP="0024330B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от «22» июня 2018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7665C8" w:rsidRPr="007665C8" w:rsidRDefault="009511F7" w:rsidP="007665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  <w:r w:rsidR="00FD5B6B" w:rsidRPr="00F72D55">
        <w:rPr>
          <w:sz w:val="28"/>
        </w:rPr>
        <w:t>В результате выполнения</w:t>
      </w:r>
      <w:r w:rsidR="00F72D55">
        <w:rPr>
          <w:sz w:val="28"/>
        </w:rPr>
        <w:t xml:space="preserve"> самостоятельной работы по модулю </w:t>
      </w:r>
      <w:r w:rsidR="00F72D55" w:rsidRPr="006F7AD8">
        <w:rPr>
          <w:sz w:val="28"/>
        </w:rPr>
        <w:t>«</w:t>
      </w:r>
      <w:r w:rsidR="006C31C2">
        <w:rPr>
          <w:sz w:val="28"/>
        </w:rPr>
        <w:t>Оптическая когерентная томография</w:t>
      </w:r>
      <w:r w:rsidR="00F72D55" w:rsidRPr="006F7AD8">
        <w:rPr>
          <w:sz w:val="28"/>
        </w:rPr>
        <w:t>»</w:t>
      </w:r>
      <w:r w:rsidR="00F72D55">
        <w:rPr>
          <w:sz w:val="28"/>
        </w:rPr>
        <w:t xml:space="preserve"> </w:t>
      </w:r>
      <w:r w:rsidR="00FD5B6B" w:rsidRPr="00F72D55">
        <w:rPr>
          <w:sz w:val="28"/>
        </w:rPr>
        <w:t xml:space="preserve"> </w:t>
      </w:r>
      <w:r w:rsidR="00FD5B6B" w:rsidRPr="00F72D55">
        <w:rPr>
          <w:sz w:val="28"/>
          <w:szCs w:val="28"/>
        </w:rPr>
        <w:t xml:space="preserve">обучающийся должен: овладеть </w:t>
      </w:r>
      <w:r w:rsidR="00F72D55" w:rsidRPr="00F72D55">
        <w:rPr>
          <w:sz w:val="28"/>
          <w:szCs w:val="28"/>
        </w:rPr>
        <w:t>следующими знаниями:</w:t>
      </w:r>
      <w:r w:rsidR="007665C8" w:rsidRPr="007665C8">
        <w:rPr>
          <w:sz w:val="28"/>
          <w:szCs w:val="28"/>
        </w:rPr>
        <w:t xml:space="preserve"> </w:t>
      </w:r>
      <w:r w:rsidR="007665C8">
        <w:rPr>
          <w:sz w:val="28"/>
          <w:szCs w:val="28"/>
        </w:rPr>
        <w:t>м</w:t>
      </w:r>
      <w:r w:rsidR="007665C8" w:rsidRPr="007665C8">
        <w:rPr>
          <w:sz w:val="28"/>
          <w:szCs w:val="28"/>
        </w:rPr>
        <w:t xml:space="preserve">етод оптической </w:t>
      </w:r>
      <w:r w:rsidR="007665C8">
        <w:rPr>
          <w:sz w:val="28"/>
          <w:szCs w:val="28"/>
        </w:rPr>
        <w:t>когерентной томографии; д</w:t>
      </w:r>
      <w:r w:rsidR="007665C8" w:rsidRPr="007665C8">
        <w:rPr>
          <w:sz w:val="28"/>
          <w:szCs w:val="28"/>
        </w:rPr>
        <w:t>остоинства метода оп</w:t>
      </w:r>
      <w:r w:rsidR="007665C8">
        <w:rPr>
          <w:sz w:val="28"/>
          <w:szCs w:val="28"/>
        </w:rPr>
        <w:t>тической когерентной томографии; ф</w:t>
      </w:r>
      <w:r w:rsidR="007665C8" w:rsidRPr="007665C8">
        <w:rPr>
          <w:sz w:val="28"/>
          <w:szCs w:val="28"/>
        </w:rPr>
        <w:t>изические принципы метода оп</w:t>
      </w:r>
      <w:r w:rsidR="007665C8">
        <w:rPr>
          <w:sz w:val="28"/>
          <w:szCs w:val="28"/>
        </w:rPr>
        <w:t>тической когерентной томографии; м</w:t>
      </w:r>
      <w:r w:rsidR="007665C8" w:rsidRPr="007665C8">
        <w:rPr>
          <w:sz w:val="28"/>
          <w:szCs w:val="28"/>
        </w:rPr>
        <w:t>етрологическая характеристика аппаратуры для оп</w:t>
      </w:r>
      <w:r w:rsidR="007665C8">
        <w:rPr>
          <w:sz w:val="28"/>
          <w:szCs w:val="28"/>
        </w:rPr>
        <w:t>тической когерентной томографии; в</w:t>
      </w:r>
      <w:r w:rsidR="007665C8" w:rsidRPr="007665C8">
        <w:rPr>
          <w:sz w:val="28"/>
          <w:szCs w:val="28"/>
        </w:rPr>
        <w:t xml:space="preserve">иды оптических когерентных </w:t>
      </w:r>
      <w:r w:rsidR="007665C8">
        <w:rPr>
          <w:sz w:val="28"/>
          <w:szCs w:val="28"/>
        </w:rPr>
        <w:t>томографов; п</w:t>
      </w:r>
      <w:r w:rsidR="007665C8" w:rsidRPr="007665C8">
        <w:rPr>
          <w:sz w:val="28"/>
          <w:szCs w:val="28"/>
        </w:rPr>
        <w:t xml:space="preserve">оказания </w:t>
      </w:r>
      <w:r w:rsidR="007665C8">
        <w:rPr>
          <w:sz w:val="28"/>
          <w:szCs w:val="28"/>
        </w:rPr>
        <w:t>и п</w:t>
      </w:r>
      <w:r w:rsidR="007665C8" w:rsidRPr="007665C8">
        <w:rPr>
          <w:sz w:val="28"/>
          <w:szCs w:val="28"/>
        </w:rPr>
        <w:t>ротивопоказания к оп</w:t>
      </w:r>
      <w:r w:rsidR="007665C8">
        <w:rPr>
          <w:sz w:val="28"/>
          <w:szCs w:val="28"/>
        </w:rPr>
        <w:t>тической когерентной томографии; п</w:t>
      </w:r>
      <w:r w:rsidR="007665C8" w:rsidRPr="007665C8">
        <w:rPr>
          <w:sz w:val="28"/>
          <w:szCs w:val="28"/>
        </w:rPr>
        <w:t>одготовка пациента к методу оп</w:t>
      </w:r>
      <w:r w:rsidR="007665C8">
        <w:rPr>
          <w:sz w:val="28"/>
          <w:szCs w:val="28"/>
        </w:rPr>
        <w:t>тической когерентной томографии; п</w:t>
      </w:r>
      <w:r w:rsidR="007665C8" w:rsidRPr="007665C8">
        <w:rPr>
          <w:sz w:val="28"/>
          <w:szCs w:val="28"/>
        </w:rPr>
        <w:t>олучени</w:t>
      </w:r>
      <w:r w:rsidR="007665C8">
        <w:rPr>
          <w:sz w:val="28"/>
          <w:szCs w:val="28"/>
        </w:rPr>
        <w:t>е изображений структур сетчатки; п</w:t>
      </w:r>
      <w:r w:rsidR="007665C8" w:rsidRPr="007665C8">
        <w:rPr>
          <w:sz w:val="28"/>
          <w:szCs w:val="28"/>
        </w:rPr>
        <w:t>ротоколы сканирования структур сетчат</w:t>
      </w:r>
      <w:r w:rsidR="007665C8">
        <w:rPr>
          <w:sz w:val="28"/>
          <w:szCs w:val="28"/>
        </w:rPr>
        <w:t>ки; к</w:t>
      </w:r>
      <w:r w:rsidR="007665C8" w:rsidRPr="007665C8">
        <w:rPr>
          <w:sz w:val="28"/>
          <w:szCs w:val="28"/>
        </w:rPr>
        <w:t>ачественный</w:t>
      </w:r>
      <w:r w:rsidR="009740F5">
        <w:rPr>
          <w:sz w:val="28"/>
          <w:szCs w:val="28"/>
        </w:rPr>
        <w:t xml:space="preserve"> и</w:t>
      </w:r>
      <w:r w:rsidR="007665C8" w:rsidRPr="007665C8">
        <w:rPr>
          <w:sz w:val="28"/>
          <w:szCs w:val="28"/>
        </w:rPr>
        <w:t xml:space="preserve"> </w:t>
      </w:r>
      <w:r w:rsidR="007665C8">
        <w:rPr>
          <w:sz w:val="28"/>
          <w:szCs w:val="28"/>
        </w:rPr>
        <w:t>к</w:t>
      </w:r>
      <w:r w:rsidR="007665C8" w:rsidRPr="007665C8">
        <w:rPr>
          <w:sz w:val="28"/>
          <w:szCs w:val="28"/>
        </w:rPr>
        <w:t>оличественный анализ изображения оп</w:t>
      </w:r>
      <w:r w:rsidR="009740F5">
        <w:rPr>
          <w:sz w:val="28"/>
          <w:szCs w:val="28"/>
        </w:rPr>
        <w:t>тической когерентной томографии</w:t>
      </w:r>
      <w:r w:rsidR="009740F5" w:rsidRPr="009740F5">
        <w:rPr>
          <w:sz w:val="28"/>
          <w:szCs w:val="28"/>
        </w:rPr>
        <w:t>;</w:t>
      </w:r>
      <w:r w:rsidR="007665C8">
        <w:rPr>
          <w:sz w:val="28"/>
          <w:szCs w:val="28"/>
        </w:rPr>
        <w:t xml:space="preserve"> п</w:t>
      </w:r>
      <w:r w:rsidR="007665C8" w:rsidRPr="007665C8">
        <w:rPr>
          <w:sz w:val="28"/>
          <w:szCs w:val="28"/>
        </w:rPr>
        <w:t>ротоколы ск</w:t>
      </w:r>
      <w:r w:rsidR="007665C8">
        <w:rPr>
          <w:sz w:val="28"/>
          <w:szCs w:val="28"/>
        </w:rPr>
        <w:t xml:space="preserve">анирования сетчатки и </w:t>
      </w:r>
      <w:proofErr w:type="spellStart"/>
      <w:r w:rsidR="007665C8">
        <w:rPr>
          <w:sz w:val="28"/>
          <w:szCs w:val="28"/>
        </w:rPr>
        <w:t>хориоидеи</w:t>
      </w:r>
      <w:proofErr w:type="spellEnd"/>
      <w:r w:rsidR="007665C8">
        <w:rPr>
          <w:sz w:val="28"/>
          <w:szCs w:val="28"/>
        </w:rPr>
        <w:t xml:space="preserve">, диска зрительного нерва, </w:t>
      </w:r>
      <w:proofErr w:type="spellStart"/>
      <w:r w:rsidR="007665C8">
        <w:rPr>
          <w:sz w:val="28"/>
          <w:szCs w:val="28"/>
        </w:rPr>
        <w:t>перипапиллярных</w:t>
      </w:r>
      <w:proofErr w:type="spellEnd"/>
      <w:r w:rsidR="007665C8">
        <w:rPr>
          <w:sz w:val="28"/>
          <w:szCs w:val="28"/>
        </w:rPr>
        <w:t xml:space="preserve"> нервных волокон</w:t>
      </w:r>
      <w:r w:rsidR="007665C8" w:rsidRPr="007665C8">
        <w:rPr>
          <w:sz w:val="28"/>
          <w:szCs w:val="28"/>
        </w:rPr>
        <w:t>;</w:t>
      </w:r>
      <w:r w:rsidR="009740F5" w:rsidRPr="009740F5">
        <w:rPr>
          <w:sz w:val="28"/>
          <w:szCs w:val="28"/>
        </w:rPr>
        <w:t xml:space="preserve"> </w:t>
      </w:r>
      <w:r w:rsidR="007665C8">
        <w:rPr>
          <w:sz w:val="28"/>
          <w:szCs w:val="28"/>
        </w:rPr>
        <w:t>и</w:t>
      </w:r>
      <w:r w:rsidR="007665C8" w:rsidRPr="007665C8">
        <w:rPr>
          <w:sz w:val="28"/>
          <w:szCs w:val="28"/>
        </w:rPr>
        <w:t xml:space="preserve">нтерпретация </w:t>
      </w:r>
      <w:proofErr w:type="spellStart"/>
      <w:r w:rsidR="007665C8" w:rsidRPr="007665C8">
        <w:rPr>
          <w:sz w:val="28"/>
          <w:szCs w:val="28"/>
        </w:rPr>
        <w:t>томографических</w:t>
      </w:r>
      <w:proofErr w:type="spellEnd"/>
      <w:r w:rsidR="007665C8" w:rsidRPr="007665C8">
        <w:rPr>
          <w:sz w:val="28"/>
          <w:szCs w:val="28"/>
        </w:rPr>
        <w:t xml:space="preserve"> изображений.</w:t>
      </w:r>
    </w:p>
    <w:p w:rsidR="00F72D55" w:rsidRDefault="00F72D55" w:rsidP="00F72D5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D55">
        <w:rPr>
          <w:sz w:val="28"/>
          <w:szCs w:val="28"/>
        </w:rPr>
        <w:t xml:space="preserve">                                 </w:t>
      </w:r>
    </w:p>
    <w:p w:rsidR="004B2C94" w:rsidRPr="004B2C94" w:rsidRDefault="004B2C94" w:rsidP="006C31C2">
      <w:pPr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9740F5">
      <w:pPr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959"/>
        <w:gridCol w:w="1959"/>
        <w:gridCol w:w="1967"/>
        <w:gridCol w:w="33"/>
      </w:tblGrid>
      <w:tr w:rsidR="006F14A4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6F14A4" w:rsidRPr="00033367" w:rsidRDefault="006F14A4" w:rsidP="0060354C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6F14A4" w:rsidRPr="00033367" w:rsidRDefault="0060354C" w:rsidP="0060354C">
            <w:pPr>
              <w:ind w:firstLine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60354C">
        <w:tc>
          <w:tcPr>
            <w:tcW w:w="10733" w:type="dxa"/>
            <w:gridSpan w:val="6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hanging="2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E2517" w:rsidRP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2517">
              <w:rPr>
                <w:color w:val="000000"/>
                <w:sz w:val="24"/>
                <w:szCs w:val="24"/>
                <w:shd w:val="clear" w:color="auto" w:fill="FFFFFF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</w:t>
            </w:r>
            <w:r w:rsidRPr="00FE25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здоровьем, готовность к ведению и лечению пациентов, нуждающихся в оказании офтальмологической медицинской помощи</w:t>
            </w:r>
          </w:p>
        </w:tc>
        <w:tc>
          <w:tcPr>
            <w:tcW w:w="1959" w:type="dxa"/>
            <w:shd w:val="clear" w:color="auto" w:fill="auto"/>
          </w:tcPr>
          <w:p w:rsidR="00FE2517" w:rsidRPr="0060354C" w:rsidRDefault="00FE2517" w:rsidP="00E80BA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Работа над учебным материалом (учебника, первоисточника, дополнительной литературы);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 w:rsidR="008B4F23" w:rsidRPr="0060354C">
              <w:rPr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="008B4F23">
              <w:rPr>
                <w:color w:val="000000"/>
                <w:sz w:val="24"/>
                <w:szCs w:val="24"/>
                <w:shd w:val="clear" w:color="auto" w:fill="FFFFFF"/>
              </w:rPr>
              <w:t>подготовка рефератов, докладов.</w:t>
            </w:r>
          </w:p>
        </w:tc>
        <w:tc>
          <w:tcPr>
            <w:tcW w:w="1959" w:type="dxa"/>
            <w:shd w:val="clear" w:color="auto" w:fill="auto"/>
          </w:tcPr>
          <w:p w:rsidR="00FE2517" w:rsidRDefault="00FE2517" w:rsidP="006C31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Тестирование, </w:t>
            </w:r>
            <w:r w:rsidR="00E80BA3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A8201F">
              <w:rPr>
                <w:color w:val="000000"/>
                <w:sz w:val="24"/>
                <w:szCs w:val="24"/>
                <w:shd w:val="clear" w:color="auto" w:fill="FFFFFF"/>
              </w:rPr>
              <w:t>стный опрос</w:t>
            </w:r>
            <w:r w:rsidR="00E80BA3">
              <w:rPr>
                <w:color w:val="000000"/>
                <w:sz w:val="24"/>
                <w:szCs w:val="24"/>
                <w:shd w:val="clear" w:color="auto" w:fill="FFFFFF"/>
              </w:rPr>
              <w:t xml:space="preserve">, проверка практических навыков, </w:t>
            </w:r>
            <w:r w:rsidR="008B4F23">
              <w:rPr>
                <w:color w:val="000000"/>
                <w:sz w:val="24"/>
                <w:szCs w:val="24"/>
                <w:shd w:val="clear" w:color="auto" w:fill="FFFFFF"/>
              </w:rPr>
              <w:t>реферат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Pr="00194653" w:rsidRDefault="00FE2517" w:rsidP="00FE2517">
            <w:pPr>
              <w:jc w:val="both"/>
              <w:rPr>
                <w:sz w:val="24"/>
                <w:szCs w:val="24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FE2517" w:rsidRPr="00033367" w:rsidTr="002D5D7D">
        <w:trPr>
          <w:gridAfter w:val="1"/>
          <w:wAfter w:w="33" w:type="dxa"/>
        </w:trPr>
        <w:tc>
          <w:tcPr>
            <w:tcW w:w="10700" w:type="dxa"/>
            <w:gridSpan w:val="5"/>
            <w:shd w:val="clear" w:color="auto" w:fill="auto"/>
          </w:tcPr>
          <w:p w:rsidR="00FE2517" w:rsidRDefault="00FE2517" w:rsidP="00FE251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FE2517" w:rsidRDefault="00FE2517" w:rsidP="00FE25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4F51E0">
              <w:rPr>
                <w:i/>
                <w:sz w:val="28"/>
              </w:rPr>
              <w:t>Оптическая когерентная томография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Pr="00033367" w:rsidRDefault="00FE2517" w:rsidP="00FE2517">
            <w:pPr>
              <w:ind w:hanging="2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E2517" w:rsidRPr="004F51E0" w:rsidRDefault="00FE2517" w:rsidP="00FE2517">
            <w:pPr>
              <w:jc w:val="both"/>
              <w:rPr>
                <w:sz w:val="24"/>
                <w:szCs w:val="24"/>
                <w:vertAlign w:val="superscript"/>
              </w:rPr>
            </w:pPr>
            <w:r w:rsidRPr="004F51E0">
              <w:rPr>
                <w:sz w:val="24"/>
                <w:szCs w:val="24"/>
              </w:rPr>
              <w:t>Тема «</w:t>
            </w:r>
            <w:r w:rsidRPr="004F51E0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и развития метода оптической когерентной томографии, современные методы оптической когерентной томографии. Топографическая анатомия органа зрения применительно к специфике проводимых </w:t>
            </w:r>
            <w:proofErr w:type="spellStart"/>
            <w:r w:rsidRPr="004F51E0">
              <w:rPr>
                <w:color w:val="000000"/>
                <w:sz w:val="24"/>
                <w:szCs w:val="24"/>
                <w:shd w:val="clear" w:color="auto" w:fill="FFFFFF"/>
              </w:rPr>
              <w:t>томографических</w:t>
            </w:r>
            <w:proofErr w:type="spellEnd"/>
            <w:r w:rsidRPr="004F51E0">
              <w:rPr>
                <w:color w:val="000000"/>
                <w:sz w:val="24"/>
                <w:szCs w:val="24"/>
                <w:shd w:val="clear" w:color="auto" w:fill="FFFFFF"/>
              </w:rPr>
              <w:t xml:space="preserve"> исследований. История возникновения и развития метода оптической когерентной томографии, современные методы оптической когерентной томографии. Топографическая анатомия органа зрения применительно к специфике проводимых </w:t>
            </w:r>
            <w:proofErr w:type="spellStart"/>
            <w:r w:rsidRPr="004F51E0">
              <w:rPr>
                <w:color w:val="000000"/>
                <w:sz w:val="24"/>
                <w:szCs w:val="24"/>
                <w:shd w:val="clear" w:color="auto" w:fill="FFFFFF"/>
              </w:rPr>
              <w:t>томографических</w:t>
            </w:r>
            <w:proofErr w:type="spellEnd"/>
            <w:r w:rsidRPr="004F51E0">
              <w:rPr>
                <w:color w:val="000000"/>
                <w:sz w:val="24"/>
                <w:szCs w:val="24"/>
                <w:shd w:val="clear" w:color="auto" w:fill="FFFFFF"/>
              </w:rPr>
              <w:t xml:space="preserve"> исследований</w:t>
            </w:r>
            <w:r w:rsidRPr="004F51E0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60354C" w:rsidRDefault="00FE2517" w:rsidP="00E80BA3">
            <w:pPr>
              <w:jc w:val="both"/>
              <w:rPr>
                <w:sz w:val="24"/>
                <w:szCs w:val="24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 w:rsidR="00317C16" w:rsidRPr="0060354C">
              <w:rPr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подготовка рефератов, докладов.</w:t>
            </w:r>
          </w:p>
        </w:tc>
        <w:tc>
          <w:tcPr>
            <w:tcW w:w="1959" w:type="dxa"/>
            <w:shd w:val="clear" w:color="auto" w:fill="auto"/>
          </w:tcPr>
          <w:p w:rsidR="00FE2517" w:rsidRPr="00194653" w:rsidRDefault="00E80BA3" w:rsidP="006C31C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опрос, проверка практических навыков, 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реферат</w:t>
            </w:r>
          </w:p>
        </w:tc>
        <w:tc>
          <w:tcPr>
            <w:tcW w:w="1967" w:type="dxa"/>
            <w:shd w:val="clear" w:color="auto" w:fill="auto"/>
          </w:tcPr>
          <w:p w:rsidR="006766BD" w:rsidRDefault="006766BD" w:rsidP="006766B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FE2517" w:rsidRPr="00194653" w:rsidRDefault="006766BD" w:rsidP="006766B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Pr="0003336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E2517" w:rsidRPr="00BA1B18" w:rsidRDefault="00FE2517" w:rsidP="00FE2517">
            <w:pPr>
              <w:rPr>
                <w:sz w:val="24"/>
                <w:szCs w:val="24"/>
              </w:rPr>
            </w:pPr>
            <w:r w:rsidRPr="00BA1B18">
              <w:rPr>
                <w:sz w:val="24"/>
                <w:szCs w:val="24"/>
              </w:rPr>
              <w:t>Тема «</w:t>
            </w:r>
            <w:r w:rsidRPr="00BA1B18">
              <w:rPr>
                <w:color w:val="000000"/>
                <w:sz w:val="24"/>
                <w:szCs w:val="24"/>
                <w:shd w:val="clear" w:color="auto" w:fill="FFFFFF"/>
              </w:rPr>
              <w:t>Физические принципы метода оптической когерентной томографии и механизмы би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ологического действия томографа</w:t>
            </w:r>
            <w:r w:rsidRPr="00BA1B18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E80BA3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 w:rsidR="00317C16" w:rsidRPr="0060354C">
              <w:rPr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подготовка рефератов, докладов.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E80BA3" w:rsidP="006C31C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опрос, проверка практических навыков, 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реферат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FE2517" w:rsidRPr="004F51E0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Pr="0003336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4253" w:type="dxa"/>
            <w:shd w:val="clear" w:color="auto" w:fill="auto"/>
          </w:tcPr>
          <w:p w:rsidR="00FE2517" w:rsidRPr="00EF01D6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01D6">
              <w:rPr>
                <w:sz w:val="24"/>
                <w:szCs w:val="24"/>
              </w:rPr>
              <w:t>Тема «</w:t>
            </w:r>
            <w:r w:rsidRPr="00EF01D6">
              <w:rPr>
                <w:color w:val="000000"/>
                <w:sz w:val="24"/>
                <w:szCs w:val="24"/>
                <w:shd w:val="clear" w:color="auto" w:fill="FFFFFF"/>
              </w:rPr>
              <w:t>Классификация и метрологические характеристики аппарата для опт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ической когерентной томографии</w:t>
            </w:r>
            <w:r w:rsidRPr="00EF01D6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E80BA3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 w:rsidR="00317C16" w:rsidRPr="0060354C">
              <w:rPr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подготовка рефератов, докладов.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E80BA3" w:rsidP="006C31C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опрос, проверка практических навыков, 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реферат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E2517" w:rsidRPr="00033367" w:rsidRDefault="00FE2517" w:rsidP="00FE2517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53" w:type="dxa"/>
            <w:shd w:val="clear" w:color="auto" w:fill="auto"/>
          </w:tcPr>
          <w:p w:rsidR="00FE2517" w:rsidRPr="00EF01D6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01D6">
              <w:rPr>
                <w:sz w:val="24"/>
                <w:szCs w:val="24"/>
              </w:rPr>
              <w:t>Тема «</w:t>
            </w:r>
            <w:r w:rsidRPr="00EF01D6">
              <w:rPr>
                <w:color w:val="000000"/>
                <w:sz w:val="24"/>
                <w:szCs w:val="24"/>
                <w:shd w:val="clear" w:color="auto" w:fill="FFFFFF"/>
              </w:rPr>
              <w:t>Этиология, патогенез и клиника основных заболеваний заднего отдела глазного яблока в соответствующей области применения метода оптической когерентной томографии</w:t>
            </w:r>
            <w:r w:rsidRPr="00EF01D6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E80BA3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</w:t>
            </w:r>
            <w:r w:rsidR="00E80BA3">
              <w:rPr>
                <w:color w:val="000000"/>
                <w:sz w:val="24"/>
                <w:szCs w:val="24"/>
                <w:shd w:val="clear" w:color="auto" w:fill="FFFFFF"/>
              </w:rPr>
              <w:t>ентации; конспектирование текст</w:t>
            </w:r>
            <w:r w:rsidR="00317C16" w:rsidRPr="0060354C">
              <w:rPr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подготовка рефератов, докладов.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E80BA3" w:rsidP="006C31C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опрос, проверка практических навыков, 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реферат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Default="00FE2517" w:rsidP="00E80BA3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53" w:type="dxa"/>
            <w:shd w:val="clear" w:color="auto" w:fill="auto"/>
          </w:tcPr>
          <w:p w:rsidR="00FE2517" w:rsidRPr="00EF01D6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01D6">
              <w:rPr>
                <w:sz w:val="24"/>
                <w:szCs w:val="24"/>
              </w:rPr>
              <w:t>Тема «</w:t>
            </w:r>
            <w:r w:rsidRPr="00EF01D6">
              <w:rPr>
                <w:color w:val="000000"/>
                <w:sz w:val="24"/>
                <w:szCs w:val="24"/>
                <w:shd w:val="clear" w:color="auto" w:fill="FFFFFF"/>
              </w:rPr>
              <w:t>Показания, противопоказания и подготовка к методу оптической когерентной томографии</w:t>
            </w:r>
            <w:r w:rsidRPr="00EF01D6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E80BA3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конспектирование текста</w:t>
            </w:r>
            <w:r w:rsidR="00317C16" w:rsidRPr="0060354C">
              <w:rPr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подготовка рефератов, докладов.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E80BA3" w:rsidP="006C31C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Тестирование, устный опрос, проверка практических навыков, </w:t>
            </w:r>
            <w:r w:rsidR="00317C16">
              <w:rPr>
                <w:color w:val="000000"/>
                <w:sz w:val="24"/>
                <w:szCs w:val="24"/>
                <w:shd w:val="clear" w:color="auto" w:fill="FFFFFF"/>
              </w:rPr>
              <w:t>реферат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FE2517" w:rsidRPr="00D90E99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66</w:t>
            </w:r>
          </w:p>
        </w:tc>
        <w:tc>
          <w:tcPr>
            <w:tcW w:w="4253" w:type="dxa"/>
            <w:shd w:val="clear" w:color="auto" w:fill="auto"/>
          </w:tcPr>
          <w:p w:rsidR="00FE2517" w:rsidRPr="00EF01D6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01D6">
              <w:rPr>
                <w:sz w:val="24"/>
                <w:szCs w:val="24"/>
              </w:rPr>
              <w:t>Тема «</w:t>
            </w:r>
            <w:r w:rsidRPr="00EF01D6">
              <w:rPr>
                <w:color w:val="000000"/>
                <w:sz w:val="24"/>
                <w:szCs w:val="24"/>
                <w:shd w:val="clear" w:color="auto" w:fill="FFFFFF"/>
              </w:rPr>
              <w:t>Работа оптического когерентного томографа с точки зрения пользователя. Получение изображений структуры сетчатки</w:t>
            </w:r>
            <w:r w:rsidRPr="00EF01D6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FE2517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текста;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подготовка рефератов, докладов.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317C16" w:rsidP="006C31C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Тестирование, устный опрос, проверка практических навыков, реферат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Default="00FE2517" w:rsidP="00FE2517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4253" w:type="dxa"/>
            <w:shd w:val="clear" w:color="auto" w:fill="auto"/>
          </w:tcPr>
          <w:p w:rsidR="00FE2517" w:rsidRPr="00EF01D6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01D6">
              <w:rPr>
                <w:sz w:val="24"/>
                <w:szCs w:val="24"/>
              </w:rPr>
              <w:t>Тема «</w:t>
            </w:r>
            <w:r w:rsidRPr="00EF01D6">
              <w:rPr>
                <w:color w:val="000000"/>
                <w:sz w:val="24"/>
                <w:szCs w:val="24"/>
                <w:shd w:val="clear" w:color="auto" w:fill="FFFFFF"/>
              </w:rPr>
              <w:t xml:space="preserve">Интерпретация </w:t>
            </w:r>
            <w:proofErr w:type="spellStart"/>
            <w:r w:rsidRPr="00EF01D6">
              <w:rPr>
                <w:color w:val="000000"/>
                <w:sz w:val="24"/>
                <w:szCs w:val="24"/>
                <w:shd w:val="clear" w:color="auto" w:fill="FFFFFF"/>
              </w:rPr>
              <w:t>томографических</w:t>
            </w:r>
            <w:proofErr w:type="spellEnd"/>
            <w:r w:rsidRPr="00EF01D6">
              <w:rPr>
                <w:color w:val="000000"/>
                <w:sz w:val="24"/>
                <w:szCs w:val="24"/>
                <w:shd w:val="clear" w:color="auto" w:fill="FFFFFF"/>
              </w:rPr>
              <w:t xml:space="preserve"> изображений</w:t>
            </w:r>
            <w:r w:rsidRPr="00EF01D6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FE2517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текста;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подготовка рефератов, докладов.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317C16" w:rsidP="006C31C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Тестирование, устный опрос, проверка практических навыков, реферат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Default="00FE2517" w:rsidP="00FE2517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B14C30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Default="006F77C4" w:rsidP="006F77C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6F77C4" w:rsidRPr="00460AEA" w:rsidRDefault="006F77C4" w:rsidP="006F77C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6F77C4" w:rsidRPr="00C35B2E" w:rsidRDefault="006F77C4" w:rsidP="006F77C4">
      <w:pPr>
        <w:ind w:firstLine="709"/>
        <w:jc w:val="both"/>
        <w:rPr>
          <w:sz w:val="8"/>
          <w:szCs w:val="28"/>
        </w:rPr>
      </w:pPr>
    </w:p>
    <w:p w:rsidR="006F77C4" w:rsidRPr="00821EB4" w:rsidRDefault="006F77C4" w:rsidP="006F77C4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6F77C4" w:rsidRDefault="006F77C4" w:rsidP="006F77C4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6F77C4" w:rsidRPr="00981A6C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6F77C4" w:rsidRPr="009F413C" w:rsidRDefault="006F77C4" w:rsidP="006F77C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6F77C4" w:rsidRPr="009F413C" w:rsidRDefault="006F77C4" w:rsidP="006F77C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6F77C4" w:rsidRPr="009F413C" w:rsidRDefault="006F77C4" w:rsidP="006F77C4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F77C4" w:rsidRPr="009F413C" w:rsidRDefault="006F77C4" w:rsidP="006F77C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F77C4" w:rsidRPr="009F413C" w:rsidRDefault="006F77C4" w:rsidP="006F77C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F77C4" w:rsidRPr="009F413C" w:rsidRDefault="006F77C4" w:rsidP="006F77C4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6F77C4" w:rsidRPr="009F413C" w:rsidRDefault="006F77C4" w:rsidP="006F77C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F77C4" w:rsidRPr="009F413C" w:rsidRDefault="006F77C4" w:rsidP="006F77C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Pr="00755609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F77C4" w:rsidRPr="00755609" w:rsidRDefault="006F77C4" w:rsidP="006F77C4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F77C4" w:rsidRPr="00AD3EBB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F77C4" w:rsidRPr="00AD3EBB" w:rsidRDefault="006F77C4" w:rsidP="006F77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762B77" w:rsidRPr="00BD5AFD" w:rsidRDefault="00762B77" w:rsidP="00762B7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762B77" w:rsidRPr="00BD5AFD" w:rsidRDefault="00762B77" w:rsidP="00762B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762B77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762B77" w:rsidRPr="00C35B2E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762B77" w:rsidRPr="00BD5AFD" w:rsidRDefault="00762B77" w:rsidP="00762B77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762B77" w:rsidRPr="00BD5AFD" w:rsidRDefault="00762B77" w:rsidP="00762B77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762B77" w:rsidRPr="00BD5AFD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762B77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762B77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762B77" w:rsidRPr="00BD5AFD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6F77C4" w:rsidRDefault="006F77C4" w:rsidP="00593334">
      <w:pPr>
        <w:ind w:firstLine="709"/>
        <w:jc w:val="both"/>
        <w:rPr>
          <w:sz w:val="28"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5"/>
      </w:tblGrid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 xml:space="preserve">Оценка 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jc w:val="center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6F77C4" w:rsidRPr="006F77C4" w:rsidRDefault="006F77C4" w:rsidP="00473CC3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jc w:val="center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6F77C4" w:rsidRPr="006F77C4" w:rsidTr="00473CC3">
        <w:trPr>
          <w:trHeight w:val="70"/>
        </w:trPr>
        <w:tc>
          <w:tcPr>
            <w:tcW w:w="2628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 xml:space="preserve"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</w:t>
            </w:r>
            <w:r w:rsidRPr="006F77C4">
              <w:rPr>
                <w:sz w:val="28"/>
                <w:szCs w:val="28"/>
              </w:rPr>
              <w:lastRenderedPageBreak/>
              <w:t>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lastRenderedPageBreak/>
              <w:t>Отлично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F44E53" w:rsidRPr="006F77C4" w:rsidRDefault="00F44E53" w:rsidP="00593334">
      <w:pPr>
        <w:ind w:firstLine="709"/>
        <w:jc w:val="both"/>
        <w:rPr>
          <w:sz w:val="28"/>
          <w:szCs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9B" w:rsidRDefault="00CF349B" w:rsidP="00FD5B6B">
      <w:r>
        <w:separator/>
      </w:r>
    </w:p>
  </w:endnote>
  <w:endnote w:type="continuationSeparator" w:id="0">
    <w:p w:rsidR="00CF349B" w:rsidRDefault="00CF349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99" w:rsidRDefault="00D90E9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C31C2">
      <w:rPr>
        <w:noProof/>
      </w:rPr>
      <w:t>2</w:t>
    </w:r>
    <w:r>
      <w:fldChar w:fldCharType="end"/>
    </w:r>
  </w:p>
  <w:p w:rsidR="00D90E99" w:rsidRDefault="00D90E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9B" w:rsidRDefault="00CF349B" w:rsidP="00FD5B6B">
      <w:r>
        <w:separator/>
      </w:r>
    </w:p>
  </w:footnote>
  <w:footnote w:type="continuationSeparator" w:id="0">
    <w:p w:rsidR="00CF349B" w:rsidRDefault="00CF349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32185"/>
    <w:multiLevelType w:val="multilevel"/>
    <w:tmpl w:val="9B128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5E7A4669"/>
    <w:multiLevelType w:val="hybridMultilevel"/>
    <w:tmpl w:val="A1C4786A"/>
    <w:lvl w:ilvl="0" w:tplc="A6720C78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94653"/>
    <w:rsid w:val="001F5EE1"/>
    <w:rsid w:val="0024330B"/>
    <w:rsid w:val="0026698D"/>
    <w:rsid w:val="002D2784"/>
    <w:rsid w:val="00317C16"/>
    <w:rsid w:val="003B5F75"/>
    <w:rsid w:val="003C37BE"/>
    <w:rsid w:val="00476000"/>
    <w:rsid w:val="004B2C94"/>
    <w:rsid w:val="004C1386"/>
    <w:rsid w:val="004D1091"/>
    <w:rsid w:val="004E2637"/>
    <w:rsid w:val="004F51E0"/>
    <w:rsid w:val="0052170D"/>
    <w:rsid w:val="005677BE"/>
    <w:rsid w:val="00582BA5"/>
    <w:rsid w:val="00593334"/>
    <w:rsid w:val="0060354C"/>
    <w:rsid w:val="006766BD"/>
    <w:rsid w:val="006847B8"/>
    <w:rsid w:val="00693E11"/>
    <w:rsid w:val="006C31C2"/>
    <w:rsid w:val="006F14A4"/>
    <w:rsid w:val="006F77C4"/>
    <w:rsid w:val="006F7AD8"/>
    <w:rsid w:val="00742208"/>
    <w:rsid w:val="00755609"/>
    <w:rsid w:val="00762B77"/>
    <w:rsid w:val="007665C8"/>
    <w:rsid w:val="0079237F"/>
    <w:rsid w:val="008113A5"/>
    <w:rsid w:val="00832D24"/>
    <w:rsid w:val="00845C7D"/>
    <w:rsid w:val="008B4F23"/>
    <w:rsid w:val="009511F7"/>
    <w:rsid w:val="009740F5"/>
    <w:rsid w:val="00985E1D"/>
    <w:rsid w:val="009978D9"/>
    <w:rsid w:val="009C2F35"/>
    <w:rsid w:val="009C4A0D"/>
    <w:rsid w:val="009F49C5"/>
    <w:rsid w:val="00A45D00"/>
    <w:rsid w:val="00A8201F"/>
    <w:rsid w:val="00AD3EBB"/>
    <w:rsid w:val="00AF327C"/>
    <w:rsid w:val="00B14C30"/>
    <w:rsid w:val="00B350F3"/>
    <w:rsid w:val="00BA1B18"/>
    <w:rsid w:val="00BF1CD1"/>
    <w:rsid w:val="00C35B2E"/>
    <w:rsid w:val="00C83AB7"/>
    <w:rsid w:val="00CF349B"/>
    <w:rsid w:val="00D06B87"/>
    <w:rsid w:val="00D212B2"/>
    <w:rsid w:val="00D33524"/>
    <w:rsid w:val="00D35869"/>
    <w:rsid w:val="00D471E6"/>
    <w:rsid w:val="00D816B2"/>
    <w:rsid w:val="00D90E99"/>
    <w:rsid w:val="00DD7966"/>
    <w:rsid w:val="00E57C66"/>
    <w:rsid w:val="00E80BA3"/>
    <w:rsid w:val="00EF01D6"/>
    <w:rsid w:val="00F0689E"/>
    <w:rsid w:val="00F44E53"/>
    <w:rsid w:val="00F5136B"/>
    <w:rsid w:val="00F55788"/>
    <w:rsid w:val="00F72D55"/>
    <w:rsid w:val="00F8248C"/>
    <w:rsid w:val="00F8739C"/>
    <w:rsid w:val="00F922E9"/>
    <w:rsid w:val="00FD34ED"/>
    <w:rsid w:val="00FD5B6B"/>
    <w:rsid w:val="00FE251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C663BF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Ания Исеркепова</cp:lastModifiedBy>
  <cp:revision>8</cp:revision>
  <dcterms:created xsi:type="dcterms:W3CDTF">2019-03-17T09:20:00Z</dcterms:created>
  <dcterms:modified xsi:type="dcterms:W3CDTF">2019-06-22T05:54:00Z</dcterms:modified>
</cp:coreProperties>
</file>