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D816B2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 w:rsidR="00D816B2">
        <w:rPr>
          <w:b/>
          <w:sz w:val="28"/>
        </w:rPr>
        <w:t xml:space="preserve"> </w:t>
      </w:r>
    </w:p>
    <w:p w:rsidR="004B2C94" w:rsidRPr="004B2C94" w:rsidRDefault="00D816B2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  <w:r w:rsidR="004B2C94"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D816B2" w:rsidRDefault="00D816B2" w:rsidP="00F5136B">
      <w:pPr>
        <w:ind w:firstLine="709"/>
        <w:jc w:val="center"/>
        <w:rPr>
          <w:b/>
        </w:rPr>
      </w:pPr>
      <w:r w:rsidRPr="00D816B2">
        <w:rPr>
          <w:b/>
          <w:sz w:val="28"/>
        </w:rPr>
        <w:t>ОФТАЛЬМОЛОГИЯ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D816B2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D816B2" w:rsidRDefault="004B2C94" w:rsidP="00F5136B">
      <w:pPr>
        <w:ind w:firstLine="709"/>
        <w:jc w:val="center"/>
        <w:rPr>
          <w:i/>
          <w:sz w:val="28"/>
        </w:rPr>
      </w:pPr>
    </w:p>
    <w:p w:rsidR="004B2C94" w:rsidRPr="00D816B2" w:rsidRDefault="00D816B2" w:rsidP="004B2C94">
      <w:pPr>
        <w:ind w:firstLine="709"/>
        <w:jc w:val="center"/>
        <w:rPr>
          <w:i/>
        </w:rPr>
      </w:pPr>
      <w:r w:rsidRPr="00D816B2">
        <w:rPr>
          <w:i/>
          <w:sz w:val="28"/>
        </w:rPr>
        <w:t>31.08.59 Офтальмология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D816B2">
      <w:pPr>
        <w:ind w:firstLine="709"/>
        <w:jc w:val="both"/>
        <w:rPr>
          <w:sz w:val="28"/>
        </w:rPr>
      </w:pPr>
    </w:p>
    <w:p w:rsidR="00FD5B6B" w:rsidRPr="00D816B2" w:rsidRDefault="00FD5B6B" w:rsidP="00D816B2">
      <w:pPr>
        <w:ind w:firstLine="709"/>
        <w:jc w:val="both"/>
        <w:rPr>
          <w:i/>
          <w:sz w:val="24"/>
          <w:szCs w:val="24"/>
        </w:rPr>
      </w:pPr>
      <w:r w:rsidRPr="00D816B2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D816B2" w:rsidRPr="00D816B2">
        <w:rPr>
          <w:i/>
          <w:sz w:val="24"/>
          <w:szCs w:val="24"/>
        </w:rPr>
        <w:t xml:space="preserve">31.08.59 Офтальмология, </w:t>
      </w:r>
      <w:r w:rsidRPr="00D816B2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D816B2">
        <w:rPr>
          <w:color w:val="000000"/>
          <w:sz w:val="24"/>
          <w:szCs w:val="24"/>
        </w:rPr>
        <w:t>ОрГМУ</w:t>
      </w:r>
      <w:proofErr w:type="spellEnd"/>
      <w:r w:rsidRPr="00D816B2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ED7D63">
        <w:rPr>
          <w:color w:val="000000"/>
          <w:sz w:val="24"/>
          <w:szCs w:val="24"/>
        </w:rPr>
        <w:t>11</w:t>
      </w:r>
      <w:r w:rsidRPr="00BD661B">
        <w:rPr>
          <w:color w:val="000000"/>
          <w:sz w:val="24"/>
          <w:szCs w:val="24"/>
        </w:rPr>
        <w:t xml:space="preserve"> от «</w:t>
      </w:r>
      <w:r w:rsidR="00ED7D63">
        <w:rPr>
          <w:color w:val="000000"/>
          <w:sz w:val="24"/>
          <w:szCs w:val="24"/>
        </w:rPr>
        <w:t>22</w:t>
      </w:r>
      <w:r w:rsidRPr="00BD661B">
        <w:rPr>
          <w:color w:val="000000"/>
          <w:sz w:val="24"/>
          <w:szCs w:val="24"/>
        </w:rPr>
        <w:t xml:space="preserve">» </w:t>
      </w:r>
      <w:r w:rsidR="00ED7D63">
        <w:rPr>
          <w:color w:val="000000"/>
          <w:sz w:val="24"/>
          <w:szCs w:val="24"/>
        </w:rPr>
        <w:t xml:space="preserve">июня </w:t>
      </w:r>
      <w:r w:rsidRPr="00BD661B">
        <w:rPr>
          <w:color w:val="000000"/>
          <w:sz w:val="24"/>
          <w:szCs w:val="24"/>
        </w:rPr>
        <w:t>20</w:t>
      </w:r>
      <w:r w:rsidR="00ED7D63"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r w:rsidR="00816138">
        <w:rPr>
          <w:sz w:val="28"/>
        </w:rPr>
        <w:t>общепрофессиональных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2F7590" w:rsidRPr="002F7590" w:rsidRDefault="009511F7" w:rsidP="00382900">
      <w:pPr>
        <w:jc w:val="both"/>
        <w:rPr>
          <w:sz w:val="28"/>
          <w:szCs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  <w:r w:rsidR="00FD5B6B" w:rsidRPr="00F72D55">
        <w:rPr>
          <w:sz w:val="28"/>
        </w:rPr>
        <w:t>В результате выполнения</w:t>
      </w:r>
      <w:r w:rsidR="00F72D55">
        <w:rPr>
          <w:sz w:val="28"/>
        </w:rPr>
        <w:t xml:space="preserve"> самостоятельной работы по модулю </w:t>
      </w:r>
      <w:r w:rsidR="00F72D55" w:rsidRPr="006F7AD8">
        <w:rPr>
          <w:sz w:val="28"/>
        </w:rPr>
        <w:t>«</w:t>
      </w:r>
      <w:r w:rsidR="00382900">
        <w:rPr>
          <w:sz w:val="28"/>
        </w:rPr>
        <w:t>Офтальмология</w:t>
      </w:r>
      <w:r w:rsidR="00382900" w:rsidRPr="006F7AD8">
        <w:rPr>
          <w:sz w:val="28"/>
        </w:rPr>
        <w:t>»</w:t>
      </w:r>
      <w:r w:rsidR="00382900">
        <w:rPr>
          <w:sz w:val="28"/>
        </w:rPr>
        <w:t xml:space="preserve"> </w:t>
      </w:r>
      <w:r w:rsidR="00382900" w:rsidRPr="00F72D55">
        <w:rPr>
          <w:sz w:val="28"/>
        </w:rPr>
        <w:t>обучающийся</w:t>
      </w:r>
      <w:r w:rsidR="00FD5B6B" w:rsidRPr="00F72D55">
        <w:rPr>
          <w:sz w:val="28"/>
          <w:szCs w:val="28"/>
        </w:rPr>
        <w:t xml:space="preserve"> должен</w:t>
      </w:r>
      <w:r w:rsidR="005B3D9E">
        <w:rPr>
          <w:sz w:val="28"/>
          <w:szCs w:val="28"/>
        </w:rPr>
        <w:t xml:space="preserve"> знать</w:t>
      </w:r>
      <w:r w:rsidR="002F7590" w:rsidRPr="002F7590">
        <w:rPr>
          <w:sz w:val="28"/>
          <w:szCs w:val="28"/>
        </w:rPr>
        <w:t>:</w:t>
      </w:r>
    </w:p>
    <w:p w:rsidR="00382900" w:rsidRPr="00382900" w:rsidRDefault="00382900" w:rsidP="002F759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382900">
        <w:rPr>
          <w:color w:val="000000"/>
          <w:sz w:val="28"/>
          <w:szCs w:val="28"/>
          <w:shd w:val="clear" w:color="auto" w:fill="FFFFFF"/>
        </w:rPr>
        <w:t>ровни и методы первичной профилактики, методы диагностики и профилактики заболеваний глаз, придаточного и глазодвигательного аппарата глаза;</w:t>
      </w:r>
    </w:p>
    <w:p w:rsidR="00382900" w:rsidRDefault="00382900" w:rsidP="0038290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382900">
        <w:rPr>
          <w:color w:val="000000"/>
          <w:sz w:val="28"/>
          <w:szCs w:val="28"/>
          <w:shd w:val="clear" w:color="auto" w:fill="FFFFFF"/>
        </w:rPr>
        <w:t xml:space="preserve">сновы профилактической медицины, направленной на укрепление здоровья населения; ведение типовой </w:t>
      </w:r>
      <w:proofErr w:type="spellStart"/>
      <w:r w:rsidRPr="00382900">
        <w:rPr>
          <w:color w:val="000000"/>
          <w:sz w:val="28"/>
          <w:szCs w:val="28"/>
          <w:shd w:val="clear" w:color="auto" w:fill="FFFFFF"/>
        </w:rPr>
        <w:t>учетно</w:t>
      </w:r>
      <w:proofErr w:type="spellEnd"/>
      <w:r w:rsidRPr="00382900">
        <w:rPr>
          <w:color w:val="000000"/>
          <w:sz w:val="28"/>
          <w:szCs w:val="28"/>
          <w:shd w:val="clear" w:color="auto" w:fill="FFFFFF"/>
        </w:rPr>
        <w:t xml:space="preserve"> - 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офтальмологических больных;</w:t>
      </w:r>
    </w:p>
    <w:p w:rsidR="00382900" w:rsidRPr="00382900" w:rsidRDefault="00382900" w:rsidP="0038290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382900">
        <w:rPr>
          <w:color w:val="000000"/>
          <w:sz w:val="28"/>
          <w:szCs w:val="28"/>
          <w:shd w:val="clear" w:color="auto" w:fill="FFFFFF"/>
        </w:rPr>
        <w:t>овременные методы клинической, лабораторной и инструментальной диагностики больных с заболеваниями органа зрения, необходимыми для постановки диагноза в соответствии с Международной статистической классификацией болезней и проблем, связанных со здоровьем;</w:t>
      </w:r>
    </w:p>
    <w:p w:rsidR="00382900" w:rsidRPr="00382900" w:rsidRDefault="00382900" w:rsidP="003829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382900">
        <w:rPr>
          <w:color w:val="000000"/>
          <w:sz w:val="28"/>
          <w:szCs w:val="28"/>
          <w:shd w:val="clear" w:color="auto" w:fill="FFFFFF"/>
        </w:rPr>
        <w:t>сновные характеристики лекарственных препаратов, используемых в офтальмологии, показания и противопоказания к их назначению, показания к применению методов лечения с учетом этиотропных и патогенетических факторов заболевания; методы лечения заболеваний, согласно установленным стандартам оказания медицинской помощи.</w:t>
      </w:r>
    </w:p>
    <w:p w:rsidR="00382900" w:rsidRPr="00382900" w:rsidRDefault="00382900" w:rsidP="003829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82900">
        <w:rPr>
          <w:color w:val="000000"/>
          <w:sz w:val="28"/>
          <w:szCs w:val="28"/>
        </w:rPr>
        <w:t xml:space="preserve">еханизм </w:t>
      </w:r>
      <w:proofErr w:type="spellStart"/>
      <w:r w:rsidRPr="00382900">
        <w:rPr>
          <w:color w:val="000000"/>
          <w:sz w:val="28"/>
          <w:szCs w:val="28"/>
        </w:rPr>
        <w:t>лечебно</w:t>
      </w:r>
      <w:proofErr w:type="spellEnd"/>
      <w:r w:rsidRPr="00382900">
        <w:rPr>
          <w:color w:val="000000"/>
          <w:sz w:val="28"/>
          <w:szCs w:val="28"/>
        </w:rPr>
        <w:t xml:space="preserve"> - реабилитационного воздействия физиотерапевтических методов лечения, применяемых в офтальмологии: рефлексотерапии, </w:t>
      </w:r>
      <w:proofErr w:type="spellStart"/>
      <w:r w:rsidRPr="00382900">
        <w:rPr>
          <w:color w:val="000000"/>
          <w:sz w:val="28"/>
          <w:szCs w:val="28"/>
        </w:rPr>
        <w:t>магнитотерапии</w:t>
      </w:r>
      <w:proofErr w:type="spellEnd"/>
      <w:r w:rsidRPr="00382900">
        <w:rPr>
          <w:color w:val="000000"/>
          <w:sz w:val="28"/>
          <w:szCs w:val="28"/>
        </w:rPr>
        <w:t xml:space="preserve">, </w:t>
      </w:r>
      <w:proofErr w:type="spellStart"/>
      <w:r w:rsidRPr="00382900">
        <w:rPr>
          <w:color w:val="000000"/>
          <w:sz w:val="28"/>
          <w:szCs w:val="28"/>
        </w:rPr>
        <w:t>лазерстимуляции</w:t>
      </w:r>
      <w:proofErr w:type="spellEnd"/>
      <w:r w:rsidRPr="00382900">
        <w:rPr>
          <w:color w:val="000000"/>
          <w:sz w:val="28"/>
          <w:szCs w:val="28"/>
        </w:rPr>
        <w:t>, электрофореза; показания и противопоказания к их назначению. Аппаратные способы лечения для пациентов, нуждающихся в медицинской реабилитации.</w:t>
      </w:r>
    </w:p>
    <w:p w:rsidR="007665C8" w:rsidRPr="00382900" w:rsidRDefault="007665C8" w:rsidP="00382900">
      <w:pPr>
        <w:jc w:val="both"/>
        <w:rPr>
          <w:sz w:val="28"/>
          <w:szCs w:val="28"/>
        </w:rPr>
      </w:pPr>
    </w:p>
    <w:p w:rsidR="004B2C94" w:rsidRDefault="004B2C94" w:rsidP="004B2C94">
      <w:pPr>
        <w:ind w:firstLine="709"/>
        <w:jc w:val="both"/>
        <w:rPr>
          <w:sz w:val="28"/>
        </w:rPr>
      </w:pPr>
    </w:p>
    <w:p w:rsidR="00CF4163" w:rsidRDefault="00CF4163" w:rsidP="004B2C94">
      <w:pPr>
        <w:ind w:firstLine="709"/>
        <w:jc w:val="both"/>
        <w:rPr>
          <w:sz w:val="28"/>
        </w:rPr>
      </w:pPr>
    </w:p>
    <w:p w:rsidR="00CF4163" w:rsidRDefault="00CF4163" w:rsidP="004B2C94">
      <w:pPr>
        <w:ind w:firstLine="709"/>
        <w:jc w:val="both"/>
        <w:rPr>
          <w:sz w:val="28"/>
        </w:rPr>
      </w:pPr>
    </w:p>
    <w:p w:rsidR="00CF4163" w:rsidRDefault="00CF4163" w:rsidP="004B2C94">
      <w:pPr>
        <w:ind w:firstLine="709"/>
        <w:jc w:val="both"/>
        <w:rPr>
          <w:sz w:val="28"/>
        </w:rPr>
      </w:pPr>
    </w:p>
    <w:p w:rsidR="00CF4163" w:rsidRDefault="00CF4163" w:rsidP="004B2C94">
      <w:pPr>
        <w:ind w:firstLine="709"/>
        <w:jc w:val="both"/>
        <w:rPr>
          <w:sz w:val="28"/>
        </w:rPr>
      </w:pPr>
    </w:p>
    <w:p w:rsidR="00CF4163" w:rsidRDefault="00CF4163" w:rsidP="004B2C94">
      <w:pPr>
        <w:ind w:firstLine="709"/>
        <w:jc w:val="both"/>
        <w:rPr>
          <w:sz w:val="28"/>
        </w:rPr>
      </w:pPr>
    </w:p>
    <w:p w:rsidR="00CF4163" w:rsidRPr="004B2C94" w:rsidRDefault="00CF4163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9740F5">
      <w:pPr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959"/>
        <w:gridCol w:w="1959"/>
        <w:gridCol w:w="1967"/>
        <w:gridCol w:w="33"/>
      </w:tblGrid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F14A4" w:rsidP="0060354C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0354C" w:rsidP="0060354C">
            <w:pPr>
              <w:ind w:firstLine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0354C">
        <w:tc>
          <w:tcPr>
            <w:tcW w:w="10733" w:type="dxa"/>
            <w:gridSpan w:val="6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5B3D9E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5B3D9E" w:rsidRDefault="005B3D9E" w:rsidP="005B3D9E">
            <w:pPr>
              <w:ind w:hanging="2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B3D9E" w:rsidRPr="00993B19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3B19">
              <w:rPr>
                <w:sz w:val="24"/>
                <w:szCs w:val="24"/>
              </w:rPr>
              <w:t>«</w:t>
            </w:r>
            <w:r w:rsidR="00382900" w:rsidRPr="00993B19">
              <w:rPr>
                <w:sz w:val="24"/>
                <w:szCs w:val="24"/>
              </w:rPr>
              <w:t>Офтальмология</w:t>
            </w:r>
            <w:r w:rsidRPr="00993B19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5B3D9E" w:rsidRPr="0060354C" w:rsidRDefault="005B3D9E" w:rsidP="00B61A1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5B3D9E" w:rsidRDefault="005B3D9E" w:rsidP="005B3D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5B3D9E" w:rsidRDefault="00A36C82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</w:t>
            </w:r>
            <w:r w:rsidR="00B61A11">
              <w:rPr>
                <w:color w:val="000000"/>
                <w:sz w:val="24"/>
                <w:szCs w:val="24"/>
                <w:shd w:val="clear" w:color="auto" w:fill="FFFFFF"/>
              </w:rPr>
              <w:t>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5B3D9E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5B3D9E" w:rsidRPr="00194653" w:rsidRDefault="005B3D9E" w:rsidP="005B3D9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5B3D9E" w:rsidRPr="00033367" w:rsidTr="00EF6729">
        <w:trPr>
          <w:gridAfter w:val="1"/>
          <w:wAfter w:w="33" w:type="dxa"/>
        </w:trPr>
        <w:tc>
          <w:tcPr>
            <w:tcW w:w="10700" w:type="dxa"/>
            <w:gridSpan w:val="5"/>
            <w:shd w:val="clear" w:color="auto" w:fill="auto"/>
          </w:tcPr>
          <w:p w:rsidR="005B3D9E" w:rsidRPr="00993B19" w:rsidRDefault="005B3D9E" w:rsidP="005B3D9E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993B19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  <w:r w:rsidR="00B61A11">
              <w:rPr>
                <w:i/>
                <w:sz w:val="24"/>
                <w:szCs w:val="24"/>
              </w:rPr>
              <w:t xml:space="preserve"> дисциплины</w:t>
            </w:r>
          </w:p>
          <w:p w:rsidR="005B3D9E" w:rsidRPr="00993B19" w:rsidRDefault="005B3D9E" w:rsidP="00EA2EB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3B19">
              <w:rPr>
                <w:sz w:val="24"/>
                <w:szCs w:val="24"/>
              </w:rPr>
              <w:t>«</w:t>
            </w:r>
            <w:r w:rsidR="00382900" w:rsidRPr="00993B19">
              <w:rPr>
                <w:i/>
                <w:sz w:val="24"/>
                <w:szCs w:val="24"/>
              </w:rPr>
              <w:t>Офтальмология</w:t>
            </w:r>
            <w:r w:rsidRPr="00993B19">
              <w:rPr>
                <w:i/>
                <w:sz w:val="24"/>
                <w:szCs w:val="24"/>
              </w:rPr>
              <w:t xml:space="preserve"> </w:t>
            </w:r>
            <w:r w:rsidRPr="00993B19">
              <w:rPr>
                <w:sz w:val="24"/>
                <w:szCs w:val="24"/>
              </w:rPr>
              <w:t>»</w:t>
            </w:r>
          </w:p>
        </w:tc>
      </w:tr>
      <w:tr w:rsidR="005B3D9E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5B3D9E" w:rsidRPr="00033367" w:rsidRDefault="005B3D9E" w:rsidP="005B3D9E">
            <w:pPr>
              <w:ind w:hanging="2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B3D9E" w:rsidRPr="00993B19" w:rsidRDefault="005B3D9E" w:rsidP="00A36C8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sz w:val="24"/>
                <w:szCs w:val="24"/>
              </w:rPr>
              <w:t>Тема «</w:t>
            </w:r>
            <w:r w:rsidR="001332D8" w:rsidRPr="00993B19">
              <w:rPr>
                <w:color w:val="000000"/>
                <w:sz w:val="24"/>
                <w:szCs w:val="24"/>
              </w:rPr>
              <w:t>Клиническая анатомия зрительного нерва.  Варианты поражения зрительного нерва</w:t>
            </w:r>
            <w:r w:rsidRPr="00993B19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5B3D9E" w:rsidRPr="0060354C" w:rsidRDefault="005B3D9E" w:rsidP="005B3D9E">
            <w:pPr>
              <w:jc w:val="both"/>
              <w:rPr>
                <w:sz w:val="24"/>
                <w:szCs w:val="24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текста;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рефератов, докладов.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5B3D9E" w:rsidRPr="00194653" w:rsidRDefault="00A36C82" w:rsidP="00A36C8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5B3D9E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5B3D9E" w:rsidRPr="00194653" w:rsidRDefault="005B3D9E" w:rsidP="005B3D9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5B3D9E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5B3D9E" w:rsidRPr="00033367" w:rsidRDefault="005B3D9E" w:rsidP="005B3D9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B3D9E" w:rsidRPr="00993B19" w:rsidRDefault="005B3D9E" w:rsidP="005B3D9E">
            <w:pPr>
              <w:rPr>
                <w:sz w:val="24"/>
                <w:szCs w:val="24"/>
              </w:rPr>
            </w:pPr>
            <w:r w:rsidRPr="00993B19">
              <w:rPr>
                <w:sz w:val="24"/>
                <w:szCs w:val="24"/>
              </w:rPr>
              <w:t>Тема «</w:t>
            </w:r>
            <w:r w:rsidR="001332D8" w:rsidRPr="00993B19">
              <w:rPr>
                <w:color w:val="000000"/>
                <w:sz w:val="24"/>
                <w:szCs w:val="24"/>
              </w:rPr>
              <w:t xml:space="preserve">Анатомо-топографические особенности зрительного анализатора и </w:t>
            </w:r>
            <w:r w:rsidR="001332D8" w:rsidRPr="00993B19">
              <w:rPr>
                <w:color w:val="000000"/>
                <w:sz w:val="24"/>
                <w:szCs w:val="24"/>
              </w:rPr>
              <w:lastRenderedPageBreak/>
              <w:t>клиническое значение их в патогенезе зрительной дисфункции</w:t>
            </w:r>
            <w:r w:rsidRPr="00993B19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5B3D9E" w:rsidRPr="00033367" w:rsidRDefault="005B3D9E" w:rsidP="00B61A11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Работа над учебным материалом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5B3D9E" w:rsidRPr="00033367" w:rsidRDefault="00A36C82" w:rsidP="00A36C8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5B3D9E" w:rsidRPr="004F51E0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</w:tr>
      <w:tr w:rsidR="005B3D9E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5B3D9E" w:rsidRPr="00033367" w:rsidRDefault="005B3D9E" w:rsidP="005B3D9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4253" w:type="dxa"/>
            <w:shd w:val="clear" w:color="auto" w:fill="auto"/>
          </w:tcPr>
          <w:p w:rsidR="005B3D9E" w:rsidRPr="00993B19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3B19">
              <w:rPr>
                <w:sz w:val="24"/>
                <w:szCs w:val="24"/>
              </w:rPr>
              <w:t>Тема «</w:t>
            </w:r>
            <w:r w:rsidR="001332D8" w:rsidRPr="00993B19">
              <w:rPr>
                <w:color w:val="000000"/>
                <w:sz w:val="24"/>
                <w:szCs w:val="24"/>
              </w:rPr>
              <w:t>Анатомо-топографические особенности век,  слезных органов и клиническое значение их в патогенезе глазных заболеваний</w:t>
            </w:r>
            <w:r w:rsidRPr="00993B19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5B3D9E" w:rsidRPr="00033367" w:rsidRDefault="005B3D9E" w:rsidP="00B61A11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5B3D9E" w:rsidRPr="00033367" w:rsidRDefault="00A36C82" w:rsidP="00A36C8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5B3D9E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B3D9E" w:rsidRPr="00033367" w:rsidRDefault="005B3D9E" w:rsidP="005B3D9E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5B3D9E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5B3D9E" w:rsidRDefault="005B3D9E" w:rsidP="005B3D9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53" w:type="dxa"/>
            <w:shd w:val="clear" w:color="auto" w:fill="auto"/>
          </w:tcPr>
          <w:p w:rsidR="005B3D9E" w:rsidRPr="00993B19" w:rsidRDefault="005B3D9E" w:rsidP="001332D8">
            <w:pPr>
              <w:widowControl w:val="0"/>
              <w:ind w:left="142"/>
              <w:rPr>
                <w:color w:val="000000"/>
                <w:sz w:val="24"/>
                <w:szCs w:val="24"/>
              </w:rPr>
            </w:pPr>
            <w:r w:rsidRPr="00993B19">
              <w:rPr>
                <w:sz w:val="24"/>
                <w:szCs w:val="24"/>
              </w:rPr>
              <w:t>Тема «</w:t>
            </w:r>
            <w:r w:rsidR="001332D8" w:rsidRPr="00993B19">
              <w:rPr>
                <w:color w:val="000000"/>
                <w:sz w:val="24"/>
                <w:szCs w:val="24"/>
              </w:rPr>
              <w:t>Анатомо-топографические особенности глазодвигательного аппарата  и клиническое значение их в патогенезе глазных заболеваний</w:t>
            </w:r>
            <w:r w:rsidRPr="00993B19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5B3D9E" w:rsidRPr="00033367" w:rsidRDefault="005B3D9E" w:rsidP="00B61A11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5B3D9E" w:rsidRPr="00033367" w:rsidRDefault="00A36C82" w:rsidP="00A36C8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5B3D9E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5B3D9E" w:rsidRDefault="005B3D9E" w:rsidP="005B3D9E">
            <w:pPr>
              <w:ind w:firstLine="709"/>
              <w:jc w:val="center"/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5B3D9E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5B3D9E" w:rsidRDefault="005B3D9E" w:rsidP="005B3D9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53" w:type="dxa"/>
            <w:shd w:val="clear" w:color="auto" w:fill="auto"/>
          </w:tcPr>
          <w:p w:rsidR="005B3D9E" w:rsidRPr="00993B19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3B19">
              <w:rPr>
                <w:sz w:val="24"/>
                <w:szCs w:val="24"/>
              </w:rPr>
              <w:t>Тема «</w:t>
            </w:r>
            <w:r w:rsidR="001332D8" w:rsidRPr="00993B19">
              <w:rPr>
                <w:color w:val="000000"/>
                <w:sz w:val="24"/>
                <w:szCs w:val="24"/>
              </w:rPr>
              <w:t>Физическая и клиническая рефракция. Аккомодация. Механизм аккомодации  (теория Гельмгольца и Шахара)</w:t>
            </w:r>
            <w:r w:rsidRPr="00993B19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5B3D9E" w:rsidRPr="00033367" w:rsidRDefault="005B3D9E" w:rsidP="00B61A11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(учебника, первоисточника, дополнительной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5B3D9E" w:rsidRPr="00033367" w:rsidRDefault="00A36C82" w:rsidP="00A36C82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5B3D9E" w:rsidRPr="00D90E99" w:rsidRDefault="005B3D9E" w:rsidP="005B3D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</w:tr>
      <w:tr w:rsidR="00EC44C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EC44C7" w:rsidRDefault="00EC44C7" w:rsidP="00EC44C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66</w:t>
            </w:r>
          </w:p>
        </w:tc>
        <w:tc>
          <w:tcPr>
            <w:tcW w:w="4253" w:type="dxa"/>
            <w:shd w:val="clear" w:color="auto" w:fill="auto"/>
          </w:tcPr>
          <w:p w:rsidR="00EC44C7" w:rsidRPr="00993B19" w:rsidRDefault="00EC44C7" w:rsidP="00EC44C7">
            <w:pPr>
              <w:jc w:val="both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«Возрастные изменения аккомодации, амплитуда и объем аккомодации, область аккомодации. Клиника пареза, паралича, спазма аккомодации при различной рефракции»</w:t>
            </w:r>
          </w:p>
        </w:tc>
        <w:tc>
          <w:tcPr>
            <w:tcW w:w="1959" w:type="dxa"/>
            <w:shd w:val="clear" w:color="auto" w:fill="auto"/>
          </w:tcPr>
          <w:p w:rsidR="00EC44C7" w:rsidRPr="0060354C" w:rsidRDefault="00EC44C7" w:rsidP="00B61A1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EC44C7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Pr="00862B2A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2B2A"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 w:rsidRPr="00862B2A">
              <w:rPr>
                <w:color w:val="000000"/>
                <w:sz w:val="24"/>
                <w:szCs w:val="24"/>
              </w:rPr>
              <w:t xml:space="preserve"> </w:t>
            </w:r>
            <w:r w:rsidRPr="00862B2A"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</w:tc>
      </w:tr>
      <w:tr w:rsidR="00EC44C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EC44C7" w:rsidRDefault="00EC44C7" w:rsidP="00EC44C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253" w:type="dxa"/>
            <w:shd w:val="clear" w:color="auto" w:fill="auto"/>
          </w:tcPr>
          <w:p w:rsidR="00EC44C7" w:rsidRPr="00993B19" w:rsidRDefault="00EC44C7" w:rsidP="00EC44C7">
            <w:pPr>
              <w:widowControl w:val="0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«Диагностика и лечение прогрессирующей миопии традиционными и нетрадиционными методами.</w:t>
            </w:r>
            <w:r w:rsidRPr="00993B19">
              <w:rPr>
                <w:sz w:val="24"/>
                <w:szCs w:val="24"/>
              </w:rPr>
              <w:t xml:space="preserve"> Варианты консервативного лечения миопии с применением нетрадиционных методов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C44C7" w:rsidRPr="0060354C" w:rsidRDefault="00EC44C7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EC44C7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r w:rsidRPr="00862B2A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993B19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993B19" w:rsidRDefault="00993B19" w:rsidP="00993B1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253" w:type="dxa"/>
            <w:shd w:val="clear" w:color="auto" w:fill="auto"/>
          </w:tcPr>
          <w:p w:rsidR="00993B19" w:rsidRPr="00993B19" w:rsidRDefault="00993B19" w:rsidP="00993B19">
            <w:pPr>
              <w:jc w:val="both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«Принципы хирургического исправления аномалий рефракции»</w:t>
            </w:r>
          </w:p>
        </w:tc>
        <w:tc>
          <w:tcPr>
            <w:tcW w:w="1959" w:type="dxa"/>
            <w:shd w:val="clear" w:color="auto" w:fill="auto"/>
          </w:tcPr>
          <w:p w:rsidR="00993B19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(учебника, первоисточника, дополнительной литературы); чтение текста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993B19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993B19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Default="001332D8" w:rsidP="005B3D9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5B3D9E">
            <w:pPr>
              <w:jc w:val="both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«Принципы коррекции пресбиопии»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Default="001332D8" w:rsidP="005B3D9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«Методы обследования оптических сред глаза»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Default="001332D8" w:rsidP="005B3D9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«Центральное и периферическое зрение»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(учебника, первоисточника, дополнительной литературы); чтение текста (учебника, первоисточника, дополнительной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Default="001332D8" w:rsidP="001332D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112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proofErr w:type="spellStart"/>
            <w:r w:rsidRPr="00993B19">
              <w:rPr>
                <w:sz w:val="24"/>
                <w:szCs w:val="24"/>
              </w:rPr>
              <w:t>Светоощущение</w:t>
            </w:r>
            <w:proofErr w:type="spellEnd"/>
            <w:r w:rsidRPr="00993B19">
              <w:rPr>
                <w:sz w:val="24"/>
                <w:szCs w:val="24"/>
              </w:rPr>
              <w:t xml:space="preserve">, </w:t>
            </w:r>
            <w:proofErr w:type="spellStart"/>
            <w:r w:rsidRPr="00993B19">
              <w:rPr>
                <w:sz w:val="24"/>
                <w:szCs w:val="24"/>
              </w:rPr>
              <w:t>цветовосприятие</w:t>
            </w:r>
            <w:proofErr w:type="spellEnd"/>
            <w:r w:rsidRPr="00993B19">
              <w:rPr>
                <w:sz w:val="24"/>
                <w:szCs w:val="24"/>
              </w:rPr>
              <w:t xml:space="preserve"> и бинокулярное зрение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Default="001332D8" w:rsidP="001332D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sz w:val="24"/>
                <w:szCs w:val="24"/>
              </w:rPr>
              <w:t>Офтальмоскопическое исследование глазного дна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Default="001332D8" w:rsidP="001332D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sz w:val="24"/>
                <w:szCs w:val="24"/>
              </w:rPr>
              <w:t xml:space="preserve">Методы исследования </w:t>
            </w:r>
            <w:proofErr w:type="spellStart"/>
            <w:r w:rsidR="00B853AB" w:rsidRPr="00993B19">
              <w:rPr>
                <w:sz w:val="24"/>
                <w:szCs w:val="24"/>
              </w:rPr>
              <w:t>онкопатологии</w:t>
            </w:r>
            <w:proofErr w:type="spellEnd"/>
            <w:r w:rsidR="00B853AB" w:rsidRPr="00993B19">
              <w:rPr>
                <w:sz w:val="24"/>
                <w:szCs w:val="24"/>
              </w:rPr>
              <w:t xml:space="preserve"> глаза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опрос. 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115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color w:val="000000"/>
                <w:sz w:val="24"/>
                <w:szCs w:val="24"/>
              </w:rPr>
              <w:t xml:space="preserve">Воспалительные заболевания </w:t>
            </w:r>
            <w:r w:rsidR="00B853AB" w:rsidRPr="00993B19">
              <w:rPr>
                <w:sz w:val="24"/>
                <w:szCs w:val="24"/>
              </w:rPr>
              <w:t>роговой оболочки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116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color w:val="000000"/>
                <w:sz w:val="24"/>
                <w:szCs w:val="24"/>
              </w:rPr>
              <w:t>Аномалии роговой оболочки. Принципы лечения аномалий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опрос. 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993B19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993B19" w:rsidRPr="001332D8" w:rsidRDefault="00993B19" w:rsidP="00993B19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</w:t>
            </w:r>
          </w:p>
        </w:tc>
        <w:tc>
          <w:tcPr>
            <w:tcW w:w="4253" w:type="dxa"/>
            <w:shd w:val="clear" w:color="auto" w:fill="auto"/>
          </w:tcPr>
          <w:p w:rsidR="00993B19" w:rsidRPr="00993B19" w:rsidRDefault="00993B19" w:rsidP="00993B1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 xml:space="preserve">Тема «Заболевания </w:t>
            </w:r>
            <w:r w:rsidRPr="00993B19">
              <w:rPr>
                <w:sz w:val="24"/>
                <w:szCs w:val="24"/>
              </w:rPr>
              <w:t>склеры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3B19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993B19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опрос. 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993B19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993B19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993B19" w:rsidRPr="001332D8" w:rsidRDefault="00993B19" w:rsidP="00993B19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118</w:t>
            </w:r>
          </w:p>
        </w:tc>
        <w:tc>
          <w:tcPr>
            <w:tcW w:w="4253" w:type="dxa"/>
            <w:shd w:val="clear" w:color="auto" w:fill="auto"/>
          </w:tcPr>
          <w:p w:rsidR="00993B19" w:rsidRPr="00993B19" w:rsidRDefault="00993B19" w:rsidP="00993B1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«Консервативное лечение воспалительных заболеваний роговицы и склеры»</w:t>
            </w:r>
          </w:p>
        </w:tc>
        <w:tc>
          <w:tcPr>
            <w:tcW w:w="1959" w:type="dxa"/>
            <w:shd w:val="clear" w:color="auto" w:fill="auto"/>
          </w:tcPr>
          <w:p w:rsidR="00993B19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993B19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993B19" w:rsidRDefault="00993B19" w:rsidP="00993B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119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B853AB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sz w:val="24"/>
                <w:szCs w:val="24"/>
              </w:rPr>
              <w:t>Хирургическое лечение патологий роговицы и склеры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220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color w:val="000000"/>
                <w:sz w:val="24"/>
                <w:szCs w:val="24"/>
              </w:rPr>
              <w:t xml:space="preserve">Заболевания </w:t>
            </w:r>
            <w:r w:rsidR="00B853AB" w:rsidRPr="00993B19">
              <w:rPr>
                <w:sz w:val="24"/>
                <w:szCs w:val="24"/>
              </w:rPr>
              <w:t>хрусталика и стекловидного тела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221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B853AB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sz w:val="24"/>
                <w:szCs w:val="24"/>
              </w:rPr>
              <w:t>Консервативное и хирургическое лечение патологии хрусталика и стекловидного тела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222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1332D8">
            <w:pPr>
              <w:widowControl w:val="0"/>
              <w:rPr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sz w:val="24"/>
                <w:szCs w:val="24"/>
              </w:rPr>
              <w:t>Показания к хирургическому лечению катаракт у детей и взрослых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223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B853AB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sz w:val="24"/>
                <w:szCs w:val="24"/>
              </w:rPr>
              <w:t>Хирургические методы лечения заболеваний стекловидного тела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993B19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993B19" w:rsidRPr="001332D8" w:rsidRDefault="00993B19" w:rsidP="00993B19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224</w:t>
            </w:r>
          </w:p>
        </w:tc>
        <w:tc>
          <w:tcPr>
            <w:tcW w:w="4253" w:type="dxa"/>
            <w:shd w:val="clear" w:color="auto" w:fill="auto"/>
          </w:tcPr>
          <w:p w:rsidR="00993B19" w:rsidRPr="00993B19" w:rsidRDefault="00993B19" w:rsidP="00993B1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Pr="00993B19">
              <w:rPr>
                <w:sz w:val="24"/>
                <w:szCs w:val="24"/>
              </w:rPr>
              <w:t xml:space="preserve">Диагностика и  лечение  косоглазия, </w:t>
            </w:r>
            <w:proofErr w:type="spellStart"/>
            <w:r w:rsidRPr="00993B19">
              <w:rPr>
                <w:sz w:val="24"/>
                <w:szCs w:val="24"/>
              </w:rPr>
              <w:t>гетерофории</w:t>
            </w:r>
            <w:proofErr w:type="spellEnd"/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3B19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993B19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993B19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Информационной электронно-образовательной среде </w:t>
            </w:r>
          </w:p>
        </w:tc>
      </w:tr>
      <w:tr w:rsidR="00993B19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993B19" w:rsidRPr="001332D8" w:rsidRDefault="00993B19" w:rsidP="00993B19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225</w:t>
            </w:r>
          </w:p>
        </w:tc>
        <w:tc>
          <w:tcPr>
            <w:tcW w:w="4253" w:type="dxa"/>
            <w:shd w:val="clear" w:color="auto" w:fill="auto"/>
          </w:tcPr>
          <w:p w:rsidR="00993B19" w:rsidRPr="00993B19" w:rsidRDefault="00993B19" w:rsidP="00993B19">
            <w:pPr>
              <w:widowControl w:val="0"/>
              <w:rPr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Pr="00993B19">
              <w:rPr>
                <w:sz w:val="24"/>
                <w:szCs w:val="24"/>
              </w:rPr>
              <w:t xml:space="preserve">Диагностика амблиопии. </w:t>
            </w:r>
            <w:proofErr w:type="spellStart"/>
            <w:r w:rsidRPr="00993B19">
              <w:rPr>
                <w:sz w:val="24"/>
                <w:szCs w:val="24"/>
              </w:rPr>
              <w:t>Плеоптическое</w:t>
            </w:r>
            <w:proofErr w:type="spellEnd"/>
            <w:r w:rsidRPr="00993B19">
              <w:rPr>
                <w:sz w:val="24"/>
                <w:szCs w:val="24"/>
              </w:rPr>
              <w:t xml:space="preserve"> лечение (окклюзия, </w:t>
            </w:r>
            <w:proofErr w:type="spellStart"/>
            <w:r w:rsidRPr="00993B19">
              <w:rPr>
                <w:sz w:val="24"/>
                <w:szCs w:val="24"/>
              </w:rPr>
              <w:t>пенализация</w:t>
            </w:r>
            <w:proofErr w:type="spellEnd"/>
            <w:r w:rsidRPr="00993B19">
              <w:rPr>
                <w:sz w:val="24"/>
                <w:szCs w:val="24"/>
              </w:rPr>
              <w:t xml:space="preserve">, </w:t>
            </w:r>
            <w:r w:rsidR="00A36C82">
              <w:rPr>
                <w:sz w:val="24"/>
                <w:szCs w:val="24"/>
              </w:rPr>
              <w:t>«</w:t>
            </w:r>
            <w:proofErr w:type="spellStart"/>
            <w:r w:rsidR="00A36C82">
              <w:rPr>
                <w:sz w:val="24"/>
                <w:szCs w:val="24"/>
              </w:rPr>
              <w:t>засветы</w:t>
            </w:r>
            <w:proofErr w:type="spellEnd"/>
            <w:r w:rsidR="00A36C82">
              <w:rPr>
                <w:sz w:val="24"/>
                <w:szCs w:val="24"/>
              </w:rPr>
              <w:t>»</w:t>
            </w:r>
            <w:r w:rsidRPr="00993B19">
              <w:rPr>
                <w:sz w:val="24"/>
                <w:szCs w:val="24"/>
              </w:rPr>
              <w:t xml:space="preserve"> сетчатки). Ортоптическое лечение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3B19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993B19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опрос. 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993B19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993B19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993B19" w:rsidRPr="001332D8" w:rsidRDefault="00993B19" w:rsidP="00993B19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226</w:t>
            </w:r>
          </w:p>
        </w:tc>
        <w:tc>
          <w:tcPr>
            <w:tcW w:w="4253" w:type="dxa"/>
            <w:shd w:val="clear" w:color="auto" w:fill="auto"/>
          </w:tcPr>
          <w:p w:rsidR="00993B19" w:rsidRPr="00993B19" w:rsidRDefault="00993B19" w:rsidP="00993B19">
            <w:pPr>
              <w:widowControl w:val="0"/>
              <w:rPr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Pr="00993B19">
              <w:rPr>
                <w:sz w:val="24"/>
                <w:szCs w:val="24"/>
              </w:rPr>
              <w:t xml:space="preserve">Хирургическое лечение </w:t>
            </w:r>
            <w:proofErr w:type="spellStart"/>
            <w:r w:rsidRPr="00993B19">
              <w:rPr>
                <w:sz w:val="24"/>
                <w:szCs w:val="24"/>
              </w:rPr>
              <w:t>содружественного</w:t>
            </w:r>
            <w:proofErr w:type="spellEnd"/>
            <w:r w:rsidRPr="00993B19">
              <w:rPr>
                <w:sz w:val="24"/>
                <w:szCs w:val="24"/>
              </w:rPr>
              <w:t xml:space="preserve"> косоглазия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3B19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993B19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993B19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993B19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993B19" w:rsidRPr="001332D8" w:rsidRDefault="00993B19" w:rsidP="00993B19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227</w:t>
            </w:r>
          </w:p>
        </w:tc>
        <w:tc>
          <w:tcPr>
            <w:tcW w:w="4253" w:type="dxa"/>
            <w:shd w:val="clear" w:color="auto" w:fill="auto"/>
          </w:tcPr>
          <w:p w:rsidR="00993B19" w:rsidRPr="00993B19" w:rsidRDefault="00993B19" w:rsidP="00993B1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Pr="00993B19">
              <w:rPr>
                <w:sz w:val="24"/>
                <w:szCs w:val="24"/>
              </w:rPr>
              <w:t>Паралитическое косоглазие, принципы лечения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3B19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(учебника, первоисточника, дополнительной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Тестирование. </w:t>
            </w:r>
          </w:p>
          <w:p w:rsidR="00993B19" w:rsidRDefault="00A36C82" w:rsidP="00A36C82"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опрос. Решение 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993B19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образовательной среде </w:t>
            </w:r>
          </w:p>
        </w:tc>
      </w:tr>
      <w:tr w:rsidR="001332D8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1332D8" w:rsidRPr="001332D8" w:rsidRDefault="001332D8" w:rsidP="001332D8">
            <w:pPr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228</w:t>
            </w:r>
          </w:p>
        </w:tc>
        <w:tc>
          <w:tcPr>
            <w:tcW w:w="4253" w:type="dxa"/>
            <w:shd w:val="clear" w:color="auto" w:fill="auto"/>
          </w:tcPr>
          <w:p w:rsidR="001332D8" w:rsidRPr="00993B19" w:rsidRDefault="001332D8" w:rsidP="00B853AB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93B19">
              <w:rPr>
                <w:color w:val="000000"/>
                <w:sz w:val="24"/>
                <w:szCs w:val="24"/>
              </w:rPr>
              <w:t>Тема «</w:t>
            </w:r>
            <w:r w:rsidR="00B853AB" w:rsidRPr="00993B19">
              <w:rPr>
                <w:sz w:val="24"/>
                <w:szCs w:val="24"/>
              </w:rPr>
              <w:t>Нистагм. Классификация, виды</w:t>
            </w:r>
            <w:r w:rsidRPr="00993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1332D8" w:rsidRPr="0060354C" w:rsidRDefault="00993B19" w:rsidP="00EF67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A36C82" w:rsidRDefault="00A36C82" w:rsidP="00A36C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Тестирование. </w:t>
            </w:r>
          </w:p>
          <w:p w:rsidR="001332D8" w:rsidRPr="00D90E99" w:rsidRDefault="00A36C82" w:rsidP="00A36C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опрос. </w:t>
            </w:r>
          </w:p>
        </w:tc>
        <w:tc>
          <w:tcPr>
            <w:tcW w:w="1967" w:type="dxa"/>
            <w:shd w:val="clear" w:color="auto" w:fill="auto"/>
          </w:tcPr>
          <w:p w:rsidR="00EC44C7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1332D8" w:rsidRDefault="00EC44C7" w:rsidP="00EC44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</w:tbl>
    <w:p w:rsidR="00993B19" w:rsidRDefault="00993B19" w:rsidP="00B14C30">
      <w:pPr>
        <w:jc w:val="both"/>
        <w:rPr>
          <w:sz w:val="28"/>
        </w:rPr>
      </w:pPr>
    </w:p>
    <w:p w:rsidR="00993B19" w:rsidRDefault="00993B19" w:rsidP="00B14C30">
      <w:pPr>
        <w:jc w:val="both"/>
        <w:rPr>
          <w:sz w:val="28"/>
        </w:rPr>
      </w:pPr>
    </w:p>
    <w:p w:rsidR="00B61A11" w:rsidRDefault="00B61A11" w:rsidP="00B14C30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6F77C4" w:rsidRPr="00460AEA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6F77C4" w:rsidRPr="00C35B2E" w:rsidRDefault="006F77C4" w:rsidP="006F77C4">
      <w:pPr>
        <w:ind w:firstLine="709"/>
        <w:jc w:val="both"/>
        <w:rPr>
          <w:sz w:val="8"/>
          <w:szCs w:val="28"/>
        </w:rPr>
      </w:pPr>
    </w:p>
    <w:p w:rsidR="006F77C4" w:rsidRPr="00821EB4" w:rsidRDefault="006F77C4" w:rsidP="006F77C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6F77C4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25D85" w:rsidRPr="00981A6C" w:rsidRDefault="00325D85" w:rsidP="0027344E">
      <w:pPr>
        <w:jc w:val="both"/>
        <w:rPr>
          <w:sz w:val="28"/>
        </w:rPr>
      </w:pP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6F77C4" w:rsidRPr="009F413C" w:rsidRDefault="006F77C4" w:rsidP="006F77C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F77C4" w:rsidRPr="009F413C" w:rsidRDefault="006F77C4" w:rsidP="006F77C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Pr="00755609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F77C4" w:rsidRPr="00755609" w:rsidRDefault="006F77C4" w:rsidP="006F77C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lastRenderedPageBreak/>
        <w:t>Алгоритм выполнение задания</w:t>
      </w:r>
      <w:r w:rsidRPr="00755609">
        <w:rPr>
          <w:sz w:val="28"/>
        </w:rPr>
        <w:t>: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F77C4" w:rsidRPr="00AD3EBB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F77C4" w:rsidRPr="00AD3EBB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4) отбор наиболее полезной информации;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762B77" w:rsidRPr="00BD5AFD" w:rsidRDefault="00762B77" w:rsidP="00762B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762B77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762B77" w:rsidRPr="00C35B2E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762B77" w:rsidRPr="00BD5AFD" w:rsidRDefault="00762B77" w:rsidP="00762B77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BF1CD1" w:rsidRPr="00A36C82" w:rsidRDefault="00762B77" w:rsidP="00A36C8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  <w:bookmarkStart w:id="2" w:name="_GoBack"/>
      <w:bookmarkEnd w:id="2"/>
    </w:p>
    <w:p w:rsidR="00EF6729" w:rsidRDefault="00EF6729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6F77C4" w:rsidRPr="006F77C4" w:rsidTr="00EF6729">
        <w:tc>
          <w:tcPr>
            <w:tcW w:w="2628" w:type="dxa"/>
          </w:tcPr>
          <w:p w:rsidR="006F77C4" w:rsidRPr="006F77C4" w:rsidRDefault="006F77C4" w:rsidP="00EF67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7225" w:type="dxa"/>
          </w:tcPr>
          <w:p w:rsidR="006F77C4" w:rsidRPr="006F77C4" w:rsidRDefault="006F77C4" w:rsidP="00EF67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6F77C4" w:rsidRPr="006F77C4" w:rsidTr="00EF6729">
        <w:tc>
          <w:tcPr>
            <w:tcW w:w="2628" w:type="dxa"/>
          </w:tcPr>
          <w:p w:rsidR="006F77C4" w:rsidRPr="006F77C4" w:rsidRDefault="006F77C4" w:rsidP="00EF6729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EF6729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6F77C4" w:rsidRPr="006F77C4" w:rsidRDefault="006F77C4" w:rsidP="00EF6729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6F77C4" w:rsidRPr="006F77C4" w:rsidTr="00EF6729">
        <w:tc>
          <w:tcPr>
            <w:tcW w:w="2628" w:type="dxa"/>
          </w:tcPr>
          <w:p w:rsidR="006F77C4" w:rsidRPr="006F77C4" w:rsidRDefault="006F77C4" w:rsidP="00EF6729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EF6729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6F77C4" w:rsidRPr="006F77C4" w:rsidTr="00EF6729">
        <w:trPr>
          <w:trHeight w:val="70"/>
        </w:trPr>
        <w:tc>
          <w:tcPr>
            <w:tcW w:w="2628" w:type="dxa"/>
          </w:tcPr>
          <w:p w:rsidR="006F77C4" w:rsidRPr="006F77C4" w:rsidRDefault="006F77C4" w:rsidP="00EF67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7225" w:type="dxa"/>
          </w:tcPr>
          <w:p w:rsidR="006F77C4" w:rsidRPr="006F77C4" w:rsidRDefault="006F77C4" w:rsidP="00EF672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6F77C4" w:rsidRPr="006F77C4" w:rsidTr="00EF6729">
        <w:tc>
          <w:tcPr>
            <w:tcW w:w="2628" w:type="dxa"/>
          </w:tcPr>
          <w:p w:rsidR="006F77C4" w:rsidRPr="006F77C4" w:rsidRDefault="006F77C4" w:rsidP="00EF67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7225" w:type="dxa"/>
          </w:tcPr>
          <w:p w:rsidR="006F77C4" w:rsidRPr="006F77C4" w:rsidRDefault="006F77C4" w:rsidP="00EF672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F44E53" w:rsidRPr="006F77C4" w:rsidRDefault="00F44E53" w:rsidP="00593334">
      <w:pPr>
        <w:ind w:firstLine="709"/>
        <w:jc w:val="both"/>
        <w:rPr>
          <w:sz w:val="28"/>
          <w:szCs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lastRenderedPageBreak/>
        <w:t xml:space="preserve">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7F" w:rsidRDefault="0029507F" w:rsidP="00FD5B6B">
      <w:r>
        <w:separator/>
      </w:r>
    </w:p>
  </w:endnote>
  <w:endnote w:type="continuationSeparator" w:id="0">
    <w:p w:rsidR="0029507F" w:rsidRDefault="0029507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29" w:rsidRDefault="00EF672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36C82">
      <w:rPr>
        <w:noProof/>
      </w:rPr>
      <w:t>18</w:t>
    </w:r>
    <w:r>
      <w:fldChar w:fldCharType="end"/>
    </w:r>
  </w:p>
  <w:p w:rsidR="00EF6729" w:rsidRDefault="00EF67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7F" w:rsidRDefault="0029507F" w:rsidP="00FD5B6B">
      <w:r>
        <w:separator/>
      </w:r>
    </w:p>
  </w:footnote>
  <w:footnote w:type="continuationSeparator" w:id="0">
    <w:p w:rsidR="0029507F" w:rsidRDefault="0029507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952A8"/>
    <w:multiLevelType w:val="hybridMultilevel"/>
    <w:tmpl w:val="956E1E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32185"/>
    <w:multiLevelType w:val="multilevel"/>
    <w:tmpl w:val="9B128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5E7A4669"/>
    <w:multiLevelType w:val="hybridMultilevel"/>
    <w:tmpl w:val="A1C4786A"/>
    <w:lvl w:ilvl="0" w:tplc="A6720C7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63663"/>
    <w:rsid w:val="00083C34"/>
    <w:rsid w:val="000931E3"/>
    <w:rsid w:val="001332D8"/>
    <w:rsid w:val="00194653"/>
    <w:rsid w:val="001F5EE1"/>
    <w:rsid w:val="0026698D"/>
    <w:rsid w:val="0027344E"/>
    <w:rsid w:val="0029507F"/>
    <w:rsid w:val="002A6BEF"/>
    <w:rsid w:val="002D2784"/>
    <w:rsid w:val="002F7590"/>
    <w:rsid w:val="00312C38"/>
    <w:rsid w:val="00325D85"/>
    <w:rsid w:val="00382900"/>
    <w:rsid w:val="003A7FB2"/>
    <w:rsid w:val="003B5F75"/>
    <w:rsid w:val="003C37BE"/>
    <w:rsid w:val="00476000"/>
    <w:rsid w:val="004B2C94"/>
    <w:rsid w:val="004C1386"/>
    <w:rsid w:val="004D1091"/>
    <w:rsid w:val="004E2637"/>
    <w:rsid w:val="004F51E0"/>
    <w:rsid w:val="0052170D"/>
    <w:rsid w:val="005677BE"/>
    <w:rsid w:val="00582BA5"/>
    <w:rsid w:val="00593334"/>
    <w:rsid w:val="005B3D9E"/>
    <w:rsid w:val="0060354C"/>
    <w:rsid w:val="006766BD"/>
    <w:rsid w:val="006847B8"/>
    <w:rsid w:val="00693E11"/>
    <w:rsid w:val="006F14A4"/>
    <w:rsid w:val="006F77C4"/>
    <w:rsid w:val="006F7AD8"/>
    <w:rsid w:val="00742208"/>
    <w:rsid w:val="00755609"/>
    <w:rsid w:val="00762B77"/>
    <w:rsid w:val="007665C8"/>
    <w:rsid w:val="0079237F"/>
    <w:rsid w:val="008113A5"/>
    <w:rsid w:val="00816138"/>
    <w:rsid w:val="00832D24"/>
    <w:rsid w:val="00845C7D"/>
    <w:rsid w:val="009511F7"/>
    <w:rsid w:val="00965147"/>
    <w:rsid w:val="009740F5"/>
    <w:rsid w:val="00985E1D"/>
    <w:rsid w:val="00993B19"/>
    <w:rsid w:val="009978D9"/>
    <w:rsid w:val="009C2F35"/>
    <w:rsid w:val="009C4A0D"/>
    <w:rsid w:val="009F49C5"/>
    <w:rsid w:val="00A31073"/>
    <w:rsid w:val="00A36C82"/>
    <w:rsid w:val="00A45D00"/>
    <w:rsid w:val="00AD3EBB"/>
    <w:rsid w:val="00AF327C"/>
    <w:rsid w:val="00B14C30"/>
    <w:rsid w:val="00B350F3"/>
    <w:rsid w:val="00B61A11"/>
    <w:rsid w:val="00B853AB"/>
    <w:rsid w:val="00BA1B18"/>
    <w:rsid w:val="00BF1CD1"/>
    <w:rsid w:val="00C35B2E"/>
    <w:rsid w:val="00C83AB7"/>
    <w:rsid w:val="00CF4163"/>
    <w:rsid w:val="00D06B87"/>
    <w:rsid w:val="00D212B2"/>
    <w:rsid w:val="00D33524"/>
    <w:rsid w:val="00D35869"/>
    <w:rsid w:val="00D471E6"/>
    <w:rsid w:val="00D816B2"/>
    <w:rsid w:val="00D90E99"/>
    <w:rsid w:val="00DD7966"/>
    <w:rsid w:val="00E57C66"/>
    <w:rsid w:val="00EA2EB6"/>
    <w:rsid w:val="00EC44C7"/>
    <w:rsid w:val="00ED7D63"/>
    <w:rsid w:val="00EF01D6"/>
    <w:rsid w:val="00EF6729"/>
    <w:rsid w:val="00F0689E"/>
    <w:rsid w:val="00F44E53"/>
    <w:rsid w:val="00F5136B"/>
    <w:rsid w:val="00F55788"/>
    <w:rsid w:val="00F72D55"/>
    <w:rsid w:val="00F8248C"/>
    <w:rsid w:val="00F8739C"/>
    <w:rsid w:val="00F922E9"/>
    <w:rsid w:val="00FD34ED"/>
    <w:rsid w:val="00FD5B6B"/>
    <w:rsid w:val="00FE251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EC4693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Indent 2"/>
    <w:basedOn w:val="a"/>
    <w:link w:val="20"/>
    <w:rsid w:val="00B853A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853A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F2B7-B5A6-4E9C-9301-45CF86F1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Ания Исеркепова</cp:lastModifiedBy>
  <cp:revision>19</cp:revision>
  <dcterms:created xsi:type="dcterms:W3CDTF">2019-03-17T09:20:00Z</dcterms:created>
  <dcterms:modified xsi:type="dcterms:W3CDTF">2019-06-21T19:15:00Z</dcterms:modified>
</cp:coreProperties>
</file>