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1F64F7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</w:t>
      </w:r>
      <w:r w:rsidR="00C7169A">
        <w:rPr>
          <w:i/>
          <w:caps/>
          <w:color w:val="000000"/>
          <w:sz w:val="28"/>
          <w:szCs w:val="28"/>
        </w:rPr>
        <w:t>.08.</w:t>
      </w:r>
      <w:r w:rsidR="00911DD1">
        <w:rPr>
          <w:i/>
          <w:caps/>
          <w:color w:val="000000"/>
          <w:sz w:val="28"/>
          <w:szCs w:val="28"/>
        </w:rPr>
        <w:t>11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911DD1">
        <w:rPr>
          <w:i/>
          <w:color w:val="000000"/>
          <w:sz w:val="28"/>
          <w:szCs w:val="28"/>
        </w:rPr>
        <w:t>Социальная гигиена и организация госсанэпидслужбы</w:t>
      </w:r>
    </w:p>
    <w:p w:rsidR="00D91C2F" w:rsidRDefault="00D91C2F" w:rsidP="00D91C2F">
      <w:pPr>
        <w:jc w:val="center"/>
        <w:rPr>
          <w:sz w:val="28"/>
          <w:szCs w:val="28"/>
        </w:rPr>
      </w:pPr>
    </w:p>
    <w:p w:rsidR="006E026B" w:rsidRDefault="006E026B" w:rsidP="00D91C2F">
      <w:pPr>
        <w:jc w:val="center"/>
        <w:rPr>
          <w:sz w:val="28"/>
          <w:szCs w:val="28"/>
        </w:rPr>
      </w:pPr>
    </w:p>
    <w:p w:rsidR="006E026B" w:rsidRPr="009373F6" w:rsidRDefault="006E026B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1F64F7">
        <w:rPr>
          <w:i/>
          <w:caps/>
          <w:color w:val="000000"/>
          <w:sz w:val="24"/>
          <w:szCs w:val="28"/>
        </w:rPr>
        <w:t>2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911DD1">
        <w:rPr>
          <w:i/>
          <w:caps/>
          <w:color w:val="000000"/>
          <w:sz w:val="24"/>
          <w:szCs w:val="28"/>
        </w:rPr>
        <w:t>11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911DD1">
        <w:rPr>
          <w:i/>
          <w:color w:val="000000"/>
          <w:sz w:val="24"/>
          <w:szCs w:val="28"/>
        </w:rPr>
        <w:t>Социальная гигиена и организация госсанэпидслужбы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0B6370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DE081B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устный опрос </w:t>
            </w:r>
            <w:r w:rsidRPr="00274254">
              <w:rPr>
                <w:color w:val="000000"/>
                <w:sz w:val="24"/>
                <w:szCs w:val="24"/>
              </w:rPr>
              <w:t xml:space="preserve">выполнение </w:t>
            </w:r>
            <w:r w:rsidR="00DE081B">
              <w:rPr>
                <w:color w:val="000000"/>
                <w:sz w:val="24"/>
                <w:szCs w:val="24"/>
              </w:rPr>
              <w:t xml:space="preserve">практических </w:t>
            </w:r>
            <w:r w:rsidRPr="00274254">
              <w:rPr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DE081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устный опрос </w:t>
            </w:r>
          </w:p>
          <w:p w:rsidR="00DE081B" w:rsidRDefault="00DE081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 xml:space="preserve">выполнение </w:t>
            </w:r>
            <w:r w:rsidRPr="00274254">
              <w:rPr>
                <w:color w:val="000000"/>
                <w:sz w:val="24"/>
                <w:szCs w:val="24"/>
                <w:lang w:val="en-US"/>
              </w:rPr>
              <w:t>case</w:t>
            </w:r>
            <w:r w:rsidRPr="00274254"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E02D9C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E02D9C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369" w:rsidRDefault="00C10369" w:rsidP="00FD5B6B">
      <w:r>
        <w:separator/>
      </w:r>
    </w:p>
  </w:endnote>
  <w:endnote w:type="continuationSeparator" w:id="0">
    <w:p w:rsidR="00C10369" w:rsidRDefault="00C1036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E02D9C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6E026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369" w:rsidRDefault="00C10369" w:rsidP="00FD5B6B">
      <w:r>
        <w:separator/>
      </w:r>
    </w:p>
  </w:footnote>
  <w:footnote w:type="continuationSeparator" w:id="0">
    <w:p w:rsidR="00C10369" w:rsidRDefault="00C1036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6370"/>
    <w:rsid w:val="000B75E3"/>
    <w:rsid w:val="000C3CBE"/>
    <w:rsid w:val="000E107A"/>
    <w:rsid w:val="000E4C77"/>
    <w:rsid w:val="000F2F79"/>
    <w:rsid w:val="000F4023"/>
    <w:rsid w:val="00111B2A"/>
    <w:rsid w:val="00121CE9"/>
    <w:rsid w:val="00147E81"/>
    <w:rsid w:val="001A7BB3"/>
    <w:rsid w:val="001D3FDC"/>
    <w:rsid w:val="001F02EA"/>
    <w:rsid w:val="001F5EE1"/>
    <w:rsid w:val="001F64F7"/>
    <w:rsid w:val="0020077E"/>
    <w:rsid w:val="002143E1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9344A"/>
    <w:rsid w:val="003B038A"/>
    <w:rsid w:val="003B40A1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4F07E0"/>
    <w:rsid w:val="0052588F"/>
    <w:rsid w:val="00541472"/>
    <w:rsid w:val="00550011"/>
    <w:rsid w:val="005634C1"/>
    <w:rsid w:val="005670B4"/>
    <w:rsid w:val="005677BE"/>
    <w:rsid w:val="00576EF6"/>
    <w:rsid w:val="00581CA0"/>
    <w:rsid w:val="00582BA5"/>
    <w:rsid w:val="00593334"/>
    <w:rsid w:val="005973C8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E026B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D6224"/>
    <w:rsid w:val="00801D49"/>
    <w:rsid w:val="008113A5"/>
    <w:rsid w:val="00832D24"/>
    <w:rsid w:val="00845C7D"/>
    <w:rsid w:val="008631C3"/>
    <w:rsid w:val="00874157"/>
    <w:rsid w:val="008754A5"/>
    <w:rsid w:val="008802C9"/>
    <w:rsid w:val="008A3299"/>
    <w:rsid w:val="008C5878"/>
    <w:rsid w:val="008E094D"/>
    <w:rsid w:val="008F3C0E"/>
    <w:rsid w:val="00905D91"/>
    <w:rsid w:val="00911DD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C2F35"/>
    <w:rsid w:val="009C4A0D"/>
    <w:rsid w:val="009D6D6A"/>
    <w:rsid w:val="009E0AA1"/>
    <w:rsid w:val="009F0DDD"/>
    <w:rsid w:val="009F49C5"/>
    <w:rsid w:val="009F6754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1839"/>
    <w:rsid w:val="00A920DB"/>
    <w:rsid w:val="00A95AB6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72E48"/>
    <w:rsid w:val="00B76475"/>
    <w:rsid w:val="00B92C98"/>
    <w:rsid w:val="00BC74B5"/>
    <w:rsid w:val="00BF1CD1"/>
    <w:rsid w:val="00BF29CA"/>
    <w:rsid w:val="00C06C5C"/>
    <w:rsid w:val="00C10369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91C2F"/>
    <w:rsid w:val="00DA2DFF"/>
    <w:rsid w:val="00DA41EF"/>
    <w:rsid w:val="00DD7DF5"/>
    <w:rsid w:val="00DE081B"/>
    <w:rsid w:val="00DE20D2"/>
    <w:rsid w:val="00DF353B"/>
    <w:rsid w:val="00E02D9C"/>
    <w:rsid w:val="00E0337D"/>
    <w:rsid w:val="00E211FF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A9215-B71C-48F0-B0C0-72645CDD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3153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40</cp:revision>
  <cp:lastPrinted>2019-03-11T04:50:00Z</cp:lastPrinted>
  <dcterms:created xsi:type="dcterms:W3CDTF">2019-03-31T15:09:00Z</dcterms:created>
  <dcterms:modified xsi:type="dcterms:W3CDTF">2019-10-19T19:28:00Z</dcterms:modified>
</cp:coreProperties>
</file>