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НЕВРОЛОГИЯ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31.08.48 Скорая медицинская помощь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</w:rPr>
        <w:t xml:space="preserve">31.08.48 Скорая медицинская </w:t>
      </w:r>
      <w:r>
        <w:rPr>
          <w:rFonts w:ascii="Times New Roman" w:hAnsi="Times New Roman"/>
          <w:i/>
          <w:color w:val="000000"/>
        </w:rPr>
        <w:t>помощь,</w:t>
      </w:r>
      <w:r>
        <w:rPr>
          <w:rFonts w:ascii="Times New Roman" w:hAnsi="Times New Roman"/>
          <w:color w:val="000000"/>
        </w:rPr>
        <w:t>утвержденной</w:t>
      </w:r>
      <w:r>
        <w:rPr>
          <w:rFonts w:ascii="Times New Roman" w:hAnsi="Times New Roman"/>
          <w:color w:val="000000"/>
        </w:rPr>
        <w:t xml:space="preserve"> ученым советом ФГБОУ ВО </w:t>
      </w:r>
      <w:r>
        <w:rPr>
          <w:rFonts w:ascii="Times New Roman" w:hAnsi="Times New Roman"/>
          <w:color w:val="000000"/>
        </w:rPr>
        <w:t>ОрГМУ</w:t>
      </w:r>
      <w:r>
        <w:rPr>
          <w:rFonts w:ascii="Times New Roman" w:hAnsi="Times New Roman"/>
          <w:color w:val="000000"/>
        </w:rPr>
        <w:t xml:space="preserve"> Минздрава России</w:t>
      </w:r>
    </w:p>
    <w:p>
      <w:pPr>
        <w:pStyle w:val="style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протокол № </w:t>
      </w:r>
      <w:r>
        <w:rPr>
          <w:rFonts w:ascii="Times New Roman" w:hAnsi="Times New Roman"/>
          <w:color w:val="000000"/>
        </w:rPr>
        <w:t>11  от</w:t>
      </w:r>
      <w:r>
        <w:rPr>
          <w:rFonts w:ascii="Times New Roman" w:hAnsi="Times New Roman"/>
          <w:color w:val="000000"/>
        </w:rPr>
        <w:t xml:space="preserve"> «22» июня 2018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1. Методические рекомендации к лекционному курсу</w:t>
      </w: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>
      <w:pPr>
        <w:pStyle w:val="style0"/>
        <w:spacing w:after="0" w:lineRule="auto" w:line="24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Цереброваскулярные заболевания. Острая гипертоническая энцефалопатия. Острый церебральный гипертонический криз. Субарахноидальное кровоизлияние.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цереброваскулярных заболеваниях; обобщить и систематизировать знания об острой гипертонической энцефалопатии, церебральном гипертоническим кризе; сформировать новые понятия о преходящих и острых нарушениях мозгового кровообращения, начальных проявлениях недостаточности мозгового кровообращения.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Современная классификация цереброваскулярных заболеваний по МКБ-10. Определение, клинические картина преходящих и острых нарушений мозгового кровообращения. Актуальность проблемы цереброваскулярных заболеваний.  Показания для госпитализации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основные слайды лекции представлены в Приложении в электронном варианте УМКС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ind w:firstLine="708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словесный, наглядный, дедуктивный,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неимитационный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(ситуации-иллюстрации), имитационный неигровой.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(ноутбук, мультимедийный проектор, экран, дистанционный </w:t>
      </w:r>
      <w:r>
        <w:rPr>
          <w:rFonts w:ascii="Times New Roman" w:hAnsi="Times New Roman"/>
          <w:color w:val="000000"/>
          <w:sz w:val="28"/>
          <w:szCs w:val="28"/>
        </w:rPr>
        <w:t>презентер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2. Методические рекомендации по проведению практических занятий.</w:t>
      </w:r>
    </w:p>
    <w:p>
      <w:pPr>
        <w:pStyle w:val="style0"/>
        <w:spacing w:after="0" w:lineRule="auto" w:line="240"/>
        <w:rPr/>
      </w:pPr>
    </w:p>
    <w:p>
      <w:pPr>
        <w:pStyle w:val="style0"/>
        <w:suppressAutoHyphens/>
        <w:spacing w:after="0" w:lineRule="auto" w:line="240"/>
        <w:ind w:left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Цереброваскулярные заболевания. Острая гипертоническая энцефалопатия. Острый церебральный гипертонический криз. Субарахноидальное кровоизлияние.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  знаний по диагностике и лечению цереброваскулярных заболеваний, формирование практических умений и навыков по дифференциальной диагностике и тактике ведения пациентов с </w:t>
      </w:r>
      <w:r>
        <w:rPr>
          <w:rFonts w:ascii="Times New Roman" w:hAnsi="Times New Roman"/>
          <w:sz w:val="28"/>
          <w:szCs w:val="28"/>
        </w:rPr>
        <w:t>острой и хронической недостаточностью мозгового кровообращения.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Вопросы для рассмотрения: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1.Этиология и патогенез первичного и вторичного субарахноидального кровоизлияния.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Клиника субарахноидального кровоизлияния. Шкала тяжести состояния. Ханта-</w:t>
            </w:r>
            <w:r>
              <w:rPr>
                <w:rFonts w:ascii="Times New Roman" w:hAnsi="Times New Roman"/>
                <w:color w:val="000000"/>
                <w:sz w:val="28"/>
              </w:rPr>
              <w:t>Хейса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3. Дифференциальный диагноз субарахноидального кровоизлияния.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4. Методы диагностики субарахноидального кровоизлияния.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5. Роль церебрального спазма при субарахноидальном кровоизлиянии.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 Принципы терапии субарахноидального кровоизлияния. Ведение больного.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 Острая гипертоническая энцефалопатия. Клиническая картина. Диагностика. Показания для госпитализации.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Дифференциальная диагностики острой гипертонической энцефалопатии и острого церебрального гипертонического криза. Дифференциальное лечение.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Защита реферата:</w:t>
            </w:r>
          </w:p>
          <w:p>
            <w:pPr>
              <w:pStyle w:val="style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1.Диагностика и лечение артериальных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артерио-венозных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альформаций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Церебральный ангиоспазм при субарахноидальном кровоизлиянии. Методы диагностики и лечения. Протокол ведения больного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субарахноидальном кровоизлиянии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157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157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 xml:space="preserve">лечения на </w:t>
            </w:r>
            <w:r>
              <w:rPr>
                <w:rFonts w:ascii="Times New Roman" w:hAnsi="Times New Roman"/>
                <w:sz w:val="28"/>
              </w:rPr>
              <w:t>догоспитальном</w:t>
            </w:r>
            <w:r>
              <w:rPr>
                <w:rFonts w:ascii="Times New Roman" w:hAnsi="Times New Roman"/>
                <w:sz w:val="28"/>
              </w:rPr>
              <w:t xml:space="preserve">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Заключительная часть занятия: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занятия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выставление текущих оценок в учебный журнал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задание для самостоятельной подготовки обучающихся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Тема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Синкопальные</w:t>
      </w:r>
      <w:r>
        <w:rPr>
          <w:rFonts w:ascii="Times New Roman" w:hAnsi="Times New Roman"/>
          <w:sz w:val="28"/>
          <w:szCs w:val="28"/>
        </w:rPr>
        <w:t xml:space="preserve"> состояния. Этиология, патогенез, клиническая картина. Дифференциальная диагностика.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диагностике и лечению </w:t>
      </w:r>
      <w:r>
        <w:rPr>
          <w:rFonts w:ascii="Times New Roman" w:hAnsi="Times New Roman"/>
          <w:color w:val="000000"/>
          <w:sz w:val="28"/>
          <w:szCs w:val="28"/>
        </w:rPr>
        <w:t>синкопальных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состояний, формирование практических умений и навыков по дифференциальной диагностике и тактике ведения пациентов с  </w:t>
      </w:r>
      <w:r>
        <w:rPr>
          <w:rFonts w:ascii="Times New Roman" w:hAnsi="Times New Roman"/>
          <w:color w:val="000000"/>
          <w:sz w:val="28"/>
          <w:szCs w:val="28"/>
        </w:rPr>
        <w:t>синкопальными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состояниями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1.Определение эпилепсии. Распространенность эпилепсии. Патогенные факторы, приводящие к симптоматической эпилепсии.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2. Основные виды эпилептических приступов. </w:t>
            </w:r>
            <w:r>
              <w:rPr>
                <w:rFonts w:ascii="Times New Roman" w:hAnsi="Times New Roman"/>
                <w:sz w:val="28"/>
                <w:szCs w:val="28"/>
              </w:rPr>
              <w:t>Генерализованные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приступы. </w:t>
            </w:r>
            <w:r>
              <w:rPr>
                <w:rFonts w:ascii="Times New Roman" w:hAnsi="Times New Roman"/>
                <w:sz w:val="28"/>
                <w:szCs w:val="28"/>
              </w:rPr>
              <w:t>арциальные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приступы. Аура. Разновидности ауры. Отличия </w:t>
            </w:r>
            <w:r>
              <w:rPr>
                <w:rFonts w:ascii="Times New Roman" w:hAnsi="Times New Roman"/>
                <w:sz w:val="28"/>
                <w:szCs w:val="28"/>
              </w:rPr>
              <w:t>простых от сложных парциальных приступов. Отличия симптоматических, идиопатических и криптогенных эпилепсий.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3. Методы диагностики эпилепсии. Роль </w:t>
            </w:r>
            <w:r>
              <w:rPr>
                <w:rFonts w:ascii="Times New Roman" w:hAnsi="Times New Roman"/>
                <w:sz w:val="28"/>
                <w:szCs w:val="28"/>
              </w:rPr>
              <w:t>нейровизуализации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диагностике эпилепсии.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4. Дифференциальный диагноз эпилептических приступов.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5. Сумеречное помрачение сознания. Амбулаторные автоматизмы. Отличия амбулаторных автоматизмов от психических, моторных и </w:t>
            </w:r>
            <w:r>
              <w:rPr>
                <w:rFonts w:ascii="Times New Roman" w:hAnsi="Times New Roman"/>
                <w:sz w:val="28"/>
                <w:szCs w:val="28"/>
              </w:rPr>
              <w:t>идеаторных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6. Методы лечения эпилепсии. Основные механизмы действия </w:t>
            </w:r>
            <w:r>
              <w:rPr>
                <w:rFonts w:ascii="Times New Roman" w:hAnsi="Times New Roman"/>
                <w:sz w:val="28"/>
                <w:szCs w:val="28"/>
              </w:rPr>
              <w:t>антиэпилептических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препаратов. Основные преимущества </w:t>
            </w:r>
            <w:r>
              <w:rPr>
                <w:rFonts w:ascii="Times New Roman" w:hAnsi="Times New Roman"/>
                <w:sz w:val="28"/>
                <w:szCs w:val="28"/>
              </w:rPr>
              <w:t>монотерапии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лечении эпилепсии. Побочные эффекты </w:t>
            </w:r>
            <w:r>
              <w:rPr>
                <w:rFonts w:ascii="Times New Roman" w:hAnsi="Times New Roman"/>
                <w:sz w:val="28"/>
                <w:szCs w:val="28"/>
              </w:rPr>
              <w:t>антиэпилептических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средств.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7. Новейшие </w:t>
            </w:r>
            <w:r>
              <w:rPr>
                <w:rFonts w:ascii="Times New Roman" w:hAnsi="Times New Roman"/>
                <w:sz w:val="28"/>
                <w:szCs w:val="28"/>
              </w:rPr>
              <w:t>антиэпилептические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препараты. Кетогенная диета. Критерии отбора пациентов для хирургического лечения эпилепсии. Операции наиболее часто используются для лечения эпилепсии.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8. Виды эпилептических статусов. Помощь при эпилептическом статусе на разных этапах.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Защита реферата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1.Алгоритм диагностики и лечения посттравматической эпилепсии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2.Современная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антиконвульсантная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терапия. Осложнения длительного приема 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>антиконвульсантной</w:t>
            </w:r>
            <w:r>
              <w:rPr>
                <w:rFonts w:ascii="Times New Roman" w:hAnsi="Times New Roman"/>
                <w:kern w:val="36"/>
                <w:sz w:val="28"/>
                <w:szCs w:val="28"/>
              </w:rPr>
              <w:t xml:space="preserve"> терапии.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3.Дифференциальная диагностика эпилептического припадка, гипогликемического криза, истерического невроза.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 xml:space="preserve">лечения на </w:t>
            </w:r>
            <w:r>
              <w:rPr>
                <w:rFonts w:ascii="Times New Roman" w:hAnsi="Times New Roman"/>
                <w:sz w:val="28"/>
              </w:rPr>
              <w:t>догоспитальном</w:t>
            </w:r>
            <w:r>
              <w:rPr>
                <w:rFonts w:ascii="Times New Roman" w:hAnsi="Times New Roman"/>
                <w:sz w:val="28"/>
              </w:rPr>
              <w:t xml:space="preserve">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занятия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Болевые синдромы. Классификация болевых синдромов. Рефлекторные</w:t>
      </w:r>
      <w:r>
        <w:rPr>
          <w:rFonts w:ascii="Times New Roman" w:hAnsi="Times New Roman"/>
          <w:sz w:val="28"/>
          <w:szCs w:val="28"/>
        </w:rPr>
        <w:t xml:space="preserve"> болевые синдромы. </w:t>
      </w:r>
      <w:r>
        <w:rPr>
          <w:rFonts w:ascii="Times New Roman" w:hAnsi="Times New Roman"/>
          <w:sz w:val="28"/>
          <w:szCs w:val="28"/>
        </w:rPr>
        <w:t>Миофасциальный</w:t>
      </w:r>
      <w:r>
        <w:rPr>
          <w:rFonts w:ascii="Times New Roman" w:hAnsi="Times New Roman"/>
          <w:sz w:val="28"/>
          <w:szCs w:val="28"/>
        </w:rPr>
        <w:t xml:space="preserve"> болевые синдромы. </w:t>
      </w:r>
      <w:r>
        <w:rPr>
          <w:rFonts w:ascii="Times New Roman" w:hAnsi="Times New Roman"/>
          <w:sz w:val="28"/>
          <w:szCs w:val="28"/>
        </w:rPr>
        <w:t>Прозопалгии</w:t>
      </w:r>
      <w:r>
        <w:rPr>
          <w:rFonts w:ascii="Times New Roman" w:hAnsi="Times New Roman"/>
          <w:sz w:val="28"/>
          <w:szCs w:val="28"/>
        </w:rPr>
        <w:t>.  Клиника. Диагностика. Осложнения.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диагностике и лечению болевых синдромов, формирование практических умений и навыков по дифференциальной диагностике и тактике ведения пациентов с </w:t>
      </w:r>
      <w:r>
        <w:rPr>
          <w:rFonts w:ascii="Times New Roman" w:hAnsi="Times New Roman"/>
          <w:sz w:val="28"/>
          <w:szCs w:val="28"/>
        </w:rPr>
        <w:t>острым и хроническим болевым синдромом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1.Классификация болевых синдромов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2.Рефлекторные  болевые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фасциальные синдромы.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3.Дифференциальная диагностика синдрома нижней косой мышц, синдрома лестничных мышц, синдрома </w:t>
            </w:r>
            <w:r>
              <w:rPr>
                <w:rFonts w:ascii="Times New Roman" w:hAnsi="Times New Roman"/>
                <w:sz w:val="28"/>
                <w:szCs w:val="28"/>
              </w:rPr>
              <w:t>мышцы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поднимающей лопатку и синдром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плече-лопаточного </w:t>
            </w:r>
            <w:r>
              <w:rPr>
                <w:rFonts w:ascii="Times New Roman" w:hAnsi="Times New Roman"/>
                <w:sz w:val="28"/>
                <w:szCs w:val="28"/>
              </w:rPr>
              <w:t>периартроза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4.Компрессионные болевые синдромы. Диагностика.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Сосудисто-дистрофические болевые </w:t>
            </w:r>
            <w:r>
              <w:rPr>
                <w:rFonts w:ascii="Times New Roman" w:hAnsi="Times New Roman"/>
                <w:sz w:val="28"/>
                <w:szCs w:val="28"/>
              </w:rPr>
              <w:t>синдромы.Диагностика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лечения.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>Вертеброкардиальный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синдром дифференциальный диагноз с ИБС инфарктом миокарда. Клиника. Диагностика. Осложнения.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7.Принципы лечения болей в спине.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8.Прозопалгии.  Клиника. Диагностика. Осложнения.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9.Невралгия тройничного нерва. Этиология, патогенез, диагностика и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Защита реферата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eastAsia="Calibri" w:hAnsi="Times New Roman"/>
                <w:sz w:val="28"/>
              </w:rPr>
              <w:t>Вертебро-неврологичекий</w:t>
            </w:r>
            <w:r>
              <w:rPr>
                <w:rFonts w:ascii="Times New Roman" w:eastAsia="Calibri" w:hAnsi="Times New Roman"/>
                <w:sz w:val="28"/>
              </w:rPr>
              <w:t xml:space="preserve"> осмотр и формулировка диагноза.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2. Реабилитация больных с </w:t>
            </w:r>
            <w:r>
              <w:rPr>
                <w:rFonts w:ascii="Times New Roman" w:hAnsi="Times New Roman"/>
                <w:sz w:val="28"/>
              </w:rPr>
              <w:t>дорсопатией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 Особенности терапии в связи с характером боли (</w:t>
            </w:r>
            <w:r>
              <w:rPr>
                <w:rFonts w:ascii="Times New Roman" w:hAnsi="Times New Roman"/>
                <w:sz w:val="28"/>
              </w:rPr>
              <w:t>ноцицептивная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нейропатическая</w:t>
            </w:r>
            <w:r>
              <w:rPr>
                <w:rFonts w:ascii="Times New Roman" w:hAnsi="Times New Roman"/>
                <w:sz w:val="28"/>
              </w:rPr>
              <w:t xml:space="preserve">, психогенная).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eastAsia="Calibri" w:hAnsi="Times New Roman"/>
                <w:sz w:val="28"/>
              </w:rPr>
              <w:t xml:space="preserve">Фармакотерапия в </w:t>
            </w:r>
            <w:r>
              <w:rPr>
                <w:rFonts w:ascii="Times New Roman" w:eastAsia="Calibri" w:hAnsi="Times New Roman"/>
                <w:sz w:val="28"/>
              </w:rPr>
              <w:t>вертеброневрологии</w:t>
            </w:r>
            <w:r>
              <w:rPr>
                <w:rFonts w:ascii="Times New Roman" w:eastAsia="Calibri" w:hAnsi="Times New Roman"/>
                <w:sz w:val="2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</w:rPr>
              <w:t>5. НПВС в профилактике и лечении острой боли.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- назначить методы </w:t>
            </w:r>
            <w:r>
              <w:rPr>
                <w:rFonts w:ascii="Times New Roman" w:hAnsi="Times New Roman"/>
                <w:sz w:val="28"/>
              </w:rPr>
              <w:t xml:space="preserve">лечения на </w:t>
            </w:r>
            <w:r>
              <w:rPr>
                <w:rFonts w:ascii="Times New Roman" w:hAnsi="Times New Roman"/>
                <w:sz w:val="28"/>
              </w:rPr>
              <w:t>догоспитальном</w:t>
            </w:r>
            <w:r>
              <w:rPr>
                <w:rFonts w:ascii="Times New Roman" w:hAnsi="Times New Roman"/>
                <w:sz w:val="28"/>
              </w:rPr>
              <w:t xml:space="preserve"> этапе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Start w:id="0" w:name="_GoBack"/>
    <w:bookmarkEnd w:id="0"/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7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  <w:b/>
        <w:sz w:val="32"/>
        <w:szCs w:val="32"/>
      </w:rPr>
    </w:lvl>
  </w:abstractNum>
  <w:abstractNum w:abstractNumId="1">
    <w:nsid w:val="00000001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3">
    <w:nsid w:val="00000003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5">
    <w:nsid w:val="00000005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6">
    <w:nsid w:val="00000006"/>
    <w:multiLevelType w:val="multilevel"/>
    <w:tmpl w:val="65BC47EA"/>
    <w:lvl w:ilvl="0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00000007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left" w:leader="none" w:pos="141"/>
        </w:tabs>
        <w:ind w:left="424" w:hanging="283"/>
      </w:pPr>
      <w:rPr>
        <w:rFonts w:ascii="Symbol" w:hAnsi="Symbol"/>
      </w:rPr>
    </w:lvl>
  </w:abstractNum>
  <w:abstractNum w:abstractNumId="8">
    <w:nsid w:val="00000008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Times New Roman" w:hAnsi="Symbol"/>
        <w:b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Times New Roman" w:hAnsi="Symbol"/>
        <w:b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hAnsi="Symbol"/>
        <w:b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Times New Roman" w:hAnsi="Symbol"/>
        <w:b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Times New Roman" w:hAnsi="Symbol"/>
        <w:b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  <w:b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/>
        <w:b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Times New Roman" w:hAnsi="Symbol"/>
        <w:b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Times New Roman" w:hAnsi="Symbol"/>
        <w:b/>
      </w:rPr>
    </w:lvl>
  </w:abstractNum>
  <w:abstractNum w:abstractNumId="9">
    <w:nsid w:val="00000009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11">
    <w:nsid w:val="0000000B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C40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lang w:eastAsia="ru-RU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after="0" w:lineRule="auto" w:line="240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Calibri" w:hAnsi="Times New Roman"/>
      <w:sz w:val="20"/>
      <w:szCs w:val="20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i/>
      <w:iCs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rFonts w:ascii="Calibri" w:cs="Times New Roman" w:eastAsia="Times New Roman" w:hAnsi="Calibri"/>
      <w:lang w:eastAsia="ru-RU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rFonts w:ascii="Calibri" w:cs="Times New Roman" w:eastAsia="Times New Roman" w:hAnsi="Calibri"/>
      <w:lang w:eastAsia="ru-RU"/>
    </w:rPr>
  </w:style>
  <w:style w:type="numbering" w:customStyle="1" w:styleId="style4102">
    <w:name w:val="Нет списка1"/>
    <w:next w:val="style107"/>
    <w:pPr/>
  </w:style>
  <w:style w:type="paragraph" w:styleId="style94">
    <w:name w:val="Normal (Web)"/>
    <w:basedOn w:val="style0"/>
    <w:next w:val="style94"/>
    <w:pPr>
      <w:spacing w:after="0" w:lineRule="auto" w:line="240"/>
      <w:ind w:firstLine="386"/>
      <w:jc w:val="both"/>
    </w:pPr>
    <w:rPr>
      <w:rFonts w:ascii="Arial Unicode MS" w:cs="Arial Unicode MS" w:hAnsi="Arial Unicode MS"/>
      <w:sz w:val="17"/>
      <w:szCs w:val="17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character" w:customStyle="1" w:styleId="style4103">
    <w:name w:val="postbody"/>
    <w:next w:val="style4103"/>
    <w:rPr>
      <w:rFonts w:cs="Times New Roman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Основной текст Знак"/>
    <w:basedOn w:val="style65"/>
    <w:next w:val="style4104"/>
    <w:link w:val="style66"/>
    <w:uiPriority w:val="99"/>
    <w:rPr>
      <w:rFonts w:ascii="Calibri" w:cs="Times New Roman" w:eastAsia="Times New Roman" w:hAnsi="Calibri"/>
      <w:lang w:eastAsia="ru-RU"/>
    </w:rPr>
  </w:style>
  <w:style w:type="character" w:styleId="style85">
    <w:name w:val="Hyperlink"/>
    <w:basedOn w:val="style65"/>
    <w:next w:val="style85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Times New Roman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1601-EF76-4A9B-A8E8-DF6FE7DF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1036</Words>
  <Pages>7</Pages>
  <Characters>8658</Characters>
  <Application>WPS Office</Application>
  <DocSecurity>0</DocSecurity>
  <Paragraphs>225</Paragraphs>
  <ScaleCrop>false</ScaleCrop>
  <Company>SPecialiST RePack</Company>
  <LinksUpToDate>false</LinksUpToDate>
  <CharactersWithSpaces>9622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2019-04-03T02:02:19Z</dcterms:created>
  <dc:creator>1</dc:creator>
  <lastModifiedBy>Lenovo TAB 2 A10-70L</lastModifiedBy>
  <lastPrinted>2019-02-05T10:00:00Z</lastPrinted>
  <dcterms:modified xsi:type="dcterms:W3CDTF">2019-04-03T02:02:19Z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