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sz w:val="28"/>
        </w:rPr>
      </w:pPr>
      <w:r>
        <w:rPr>
          <w:sz w:val="28"/>
        </w:rPr>
        <w:t>федеральное государственное бюджетное образовательное учреждение</w:t>
      </w:r>
    </w:p>
    <w:p>
      <w:pPr>
        <w:pStyle w:val="style0"/>
        <w:jc w:val="center"/>
        <w:rPr>
          <w:sz w:val="28"/>
        </w:rPr>
      </w:pPr>
      <w:r>
        <w:rPr>
          <w:sz w:val="28"/>
        </w:rPr>
        <w:t>высшего образования</w:t>
      </w:r>
    </w:p>
    <w:p>
      <w:pPr>
        <w:pStyle w:val="style0"/>
        <w:jc w:val="center"/>
        <w:rPr>
          <w:sz w:val="28"/>
        </w:rPr>
      </w:pPr>
      <w:r>
        <w:rPr>
          <w:sz w:val="28"/>
        </w:rPr>
        <w:t>«Оренбургский государственный медицинский университет»</w:t>
      </w:r>
    </w:p>
    <w:p>
      <w:pPr>
        <w:pStyle w:val="style0"/>
        <w:jc w:val="center"/>
        <w:rPr>
          <w:sz w:val="28"/>
        </w:rPr>
      </w:pPr>
      <w:r>
        <w:rPr>
          <w:sz w:val="28"/>
        </w:rPr>
        <w:t>Министерства здравоохранения Российской Федерации</w:t>
      </w:r>
    </w:p>
    <w:p>
      <w:pPr>
        <w:pStyle w:val="style0"/>
        <w:ind w:firstLine="709"/>
        <w:jc w:val="center"/>
        <w:rPr>
          <w:sz w:val="28"/>
        </w:rPr>
      </w:pPr>
    </w:p>
    <w:p>
      <w:pPr>
        <w:pStyle w:val="style0"/>
        <w:ind w:firstLine="709"/>
        <w:jc w:val="center"/>
        <w:rPr>
          <w:sz w:val="28"/>
        </w:rPr>
      </w:pPr>
    </w:p>
    <w:p>
      <w:pPr>
        <w:pStyle w:val="style0"/>
        <w:ind w:firstLine="709"/>
        <w:jc w:val="center"/>
        <w:rPr>
          <w:sz w:val="28"/>
        </w:rPr>
      </w:pPr>
    </w:p>
    <w:p>
      <w:pPr>
        <w:pStyle w:val="style0"/>
        <w:ind w:firstLine="709"/>
        <w:jc w:val="center"/>
        <w:rPr>
          <w:sz w:val="28"/>
        </w:rPr>
      </w:pPr>
    </w:p>
    <w:p>
      <w:pPr>
        <w:pStyle w:val="style0"/>
        <w:ind w:firstLine="709"/>
        <w:jc w:val="center"/>
        <w:rPr>
          <w:sz w:val="28"/>
        </w:rPr>
      </w:pPr>
    </w:p>
    <w:p>
      <w:pPr>
        <w:pStyle w:val="style0"/>
        <w:ind w:firstLine="709"/>
        <w:jc w:val="center"/>
        <w:rPr>
          <w:sz w:val="28"/>
        </w:rPr>
      </w:pPr>
    </w:p>
    <w:p>
      <w:pPr>
        <w:pStyle w:val="style0"/>
        <w:ind w:firstLine="709"/>
        <w:jc w:val="center"/>
        <w:rPr>
          <w:sz w:val="28"/>
        </w:rPr>
      </w:pPr>
    </w:p>
    <w:p>
      <w:pPr>
        <w:pStyle w:val="style0"/>
        <w:ind w:firstLine="709"/>
        <w:jc w:val="center"/>
        <w:rPr>
          <w:sz w:val="28"/>
        </w:rPr>
      </w:pPr>
    </w:p>
    <w:p>
      <w:pPr>
        <w:pStyle w:val="style0"/>
        <w:ind w:firstLine="709"/>
        <w:jc w:val="center"/>
        <w:rPr>
          <w:sz w:val="28"/>
        </w:rPr>
      </w:pPr>
    </w:p>
    <w:p>
      <w:pPr>
        <w:pStyle w:val="style0"/>
        <w:ind w:firstLine="709"/>
        <w:jc w:val="center"/>
        <w:rPr>
          <w:sz w:val="28"/>
        </w:rPr>
      </w:pPr>
    </w:p>
    <w:p>
      <w:pPr>
        <w:pStyle w:val="style0"/>
        <w:ind w:firstLine="709"/>
        <w:jc w:val="center"/>
        <w:rPr>
          <w:sz w:val="28"/>
        </w:rPr>
      </w:pPr>
    </w:p>
    <w:p>
      <w:pPr>
        <w:pStyle w:val="style0"/>
        <w:ind w:firstLine="709"/>
        <w:jc w:val="center"/>
        <w:rPr>
          <w:sz w:val="28"/>
        </w:rPr>
      </w:pPr>
    </w:p>
    <w:p>
      <w:pPr>
        <w:pStyle w:val="style0"/>
        <w:ind w:firstLine="709"/>
        <w:jc w:val="center"/>
        <w:rPr>
          <w:sz w:val="28"/>
        </w:rPr>
      </w:pPr>
    </w:p>
    <w:p>
      <w:pPr>
        <w:pStyle w:val="style0"/>
        <w:ind w:firstLine="709"/>
        <w:jc w:val="center"/>
        <w:rPr>
          <w:sz w:val="28"/>
        </w:rPr>
      </w:pPr>
    </w:p>
    <w:p>
      <w:pPr>
        <w:pStyle w:val="style0"/>
        <w:ind w:firstLine="709"/>
        <w:jc w:val="center"/>
        <w:rPr>
          <w:sz w:val="28"/>
        </w:rPr>
      </w:pPr>
    </w:p>
    <w:p>
      <w:pPr>
        <w:pStyle w:val="style0"/>
        <w:jc w:val="center"/>
        <w:rPr>
          <w:b/>
          <w:sz w:val="28"/>
        </w:rPr>
      </w:pPr>
      <w:r>
        <w:rPr>
          <w:b/>
          <w:sz w:val="28"/>
        </w:rPr>
        <w:t>МЕТОДИЧЕСКИЕ УКАЗАНИЯ</w:t>
      </w:r>
    </w:p>
    <w:p>
      <w:pPr>
        <w:pStyle w:val="style0"/>
        <w:jc w:val="center"/>
        <w:rPr>
          <w:b/>
          <w:sz w:val="28"/>
        </w:rPr>
      </w:pPr>
      <w:r>
        <w:rPr>
          <w:b/>
          <w:sz w:val="28"/>
        </w:rPr>
        <w:t>ПО САМОСТОЯТЕЛЬНОЙ РАБОТЕ ОБУЧАЮЩИХСЯ</w:t>
      </w:r>
    </w:p>
    <w:p>
      <w:pPr>
        <w:pStyle w:val="style0"/>
        <w:jc w:val="center"/>
        <w:rPr>
          <w:b/>
          <w:sz w:val="28"/>
        </w:rPr>
      </w:pPr>
      <w:r>
        <w:rPr>
          <w:b/>
          <w:sz w:val="28"/>
        </w:rPr>
        <w:t>ПО ДИСЦИПЛИНЕ</w:t>
      </w:r>
    </w:p>
    <w:p>
      <w:pPr>
        <w:pStyle w:val="style0"/>
        <w:ind w:firstLine="709"/>
        <w:jc w:val="center"/>
        <w:rPr>
          <w:sz w:val="28"/>
        </w:rPr>
      </w:pPr>
    </w:p>
    <w:p>
      <w:pPr>
        <w:pStyle w:val="style0"/>
        <w:jc w:val="center"/>
        <w:rPr>
          <w:b/>
          <w:sz w:val="36"/>
        </w:rPr>
      </w:pPr>
      <w:r>
        <w:rPr>
          <w:b/>
          <w:sz w:val="36"/>
        </w:rPr>
        <w:t>НЕ</w:t>
      </w:r>
      <w:r>
        <w:rPr>
          <w:b/>
          <w:sz w:val="36"/>
        </w:rPr>
        <w:t>ВР</w:t>
      </w:r>
      <w:r>
        <w:rPr>
          <w:b/>
          <w:sz w:val="36"/>
        </w:rPr>
        <w:t>ОЛОГИЯ</w:t>
      </w:r>
    </w:p>
    <w:p>
      <w:pPr>
        <w:pStyle w:val="style0"/>
        <w:ind w:firstLine="709"/>
        <w:jc w:val="center"/>
        <w:rPr>
          <w:sz w:val="28"/>
        </w:rPr>
      </w:pPr>
    </w:p>
    <w:p>
      <w:pPr>
        <w:pStyle w:val="style0"/>
        <w:ind w:firstLine="709"/>
        <w:jc w:val="center"/>
        <w:rPr>
          <w:sz w:val="28"/>
        </w:rPr>
      </w:pPr>
    </w:p>
    <w:p>
      <w:pPr>
        <w:pStyle w:val="style0"/>
        <w:jc w:val="center"/>
        <w:rPr>
          <w:sz w:val="28"/>
        </w:rPr>
      </w:pPr>
      <w:r>
        <w:rPr>
          <w:sz w:val="28"/>
        </w:rPr>
        <w:t>по направлению подготовки (специальности)</w:t>
      </w:r>
    </w:p>
    <w:p>
      <w:pPr>
        <w:pStyle w:val="style0"/>
        <w:jc w:val="center"/>
        <w:rPr>
          <w:sz w:val="28"/>
        </w:rPr>
      </w:pPr>
    </w:p>
    <w:p>
      <w:pPr>
        <w:pStyle w:val="style0"/>
        <w:ind w:firstLine="709"/>
        <w:jc w:val="center"/>
        <w:rPr>
          <w:sz w:val="28"/>
        </w:rPr>
      </w:pPr>
      <w:r>
        <w:rPr>
          <w:sz w:val="28"/>
        </w:rPr>
        <w:t>Эндокринология</w:t>
      </w:r>
    </w:p>
    <w:p>
      <w:pPr>
        <w:pStyle w:val="style0"/>
        <w:ind w:firstLine="709"/>
        <w:jc w:val="center"/>
        <w:rPr>
          <w:sz w:val="28"/>
        </w:rPr>
      </w:pPr>
    </w:p>
    <w:p>
      <w:pPr>
        <w:pStyle w:val="style0"/>
        <w:ind w:firstLine="709"/>
        <w:jc w:val="center"/>
        <w:rPr>
          <w:sz w:val="28"/>
        </w:rPr>
      </w:pPr>
    </w:p>
    <w:p>
      <w:pPr>
        <w:pStyle w:val="style0"/>
        <w:ind w:firstLine="709"/>
        <w:jc w:val="center"/>
        <w:rPr>
          <w:sz w:val="28"/>
        </w:rPr>
      </w:pPr>
    </w:p>
    <w:p>
      <w:pPr>
        <w:pStyle w:val="style0"/>
        <w:ind w:firstLine="709"/>
        <w:jc w:val="center"/>
        <w:rPr>
          <w:sz w:val="28"/>
        </w:rPr>
      </w:pPr>
    </w:p>
    <w:p>
      <w:pPr>
        <w:pStyle w:val="style0"/>
        <w:ind w:firstLine="709"/>
        <w:jc w:val="center"/>
        <w:rPr>
          <w:sz w:val="28"/>
        </w:rPr>
      </w:pPr>
    </w:p>
    <w:p>
      <w:pPr>
        <w:pStyle w:val="style0"/>
        <w:ind w:firstLine="709"/>
        <w:jc w:val="center"/>
        <w:rPr>
          <w:sz w:val="28"/>
        </w:rPr>
      </w:pPr>
    </w:p>
    <w:p>
      <w:pPr>
        <w:pStyle w:val="style0"/>
        <w:ind w:firstLine="709"/>
        <w:jc w:val="center"/>
        <w:rPr>
          <w:sz w:val="28"/>
        </w:rPr>
      </w:pPr>
    </w:p>
    <w:p>
      <w:pPr>
        <w:pStyle w:val="style0"/>
        <w:ind w:firstLine="709"/>
        <w:jc w:val="center"/>
        <w:rPr>
          <w:sz w:val="28"/>
        </w:rPr>
      </w:pPr>
    </w:p>
    <w:p>
      <w:pPr>
        <w:pStyle w:val="style0"/>
        <w:ind w:firstLine="709"/>
        <w:jc w:val="center"/>
        <w:rPr>
          <w:sz w:val="28"/>
        </w:rPr>
      </w:pPr>
    </w:p>
    <w:p>
      <w:pPr>
        <w:pStyle w:val="style0"/>
        <w:ind w:firstLine="709"/>
        <w:jc w:val="both"/>
        <w:rPr>
          <w:color w:val="000000"/>
          <w:sz w:val="24"/>
          <w:szCs w:val="24"/>
        </w:rPr>
      </w:pPr>
      <w:r>
        <w:rPr>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i/>
          <w:color w:val="000000"/>
          <w:sz w:val="24"/>
          <w:szCs w:val="24"/>
        </w:rPr>
        <w:t>31.08.</w:t>
      </w:r>
      <w:r>
        <w:rPr>
          <w:i/>
          <w:color w:val="000000"/>
          <w:sz w:val="24"/>
          <w:szCs w:val="24"/>
          <w:lang w:val="en-US"/>
        </w:rPr>
        <w:t>53</w:t>
      </w:r>
      <w:r>
        <w:rPr>
          <w:i/>
          <w:color w:val="000000"/>
          <w:sz w:val="24"/>
          <w:szCs w:val="24"/>
        </w:rPr>
        <w:t xml:space="preserve"> </w:t>
      </w:r>
      <w:r>
        <w:rPr>
          <w:i/>
          <w:color w:val="000000"/>
          <w:sz w:val="24"/>
          <w:szCs w:val="24"/>
          <w:lang w:val="en-US"/>
        </w:rPr>
        <w:t>Эн</w:t>
      </w:r>
      <w:r>
        <w:rPr>
          <w:i/>
          <w:color w:val="000000"/>
          <w:sz w:val="24"/>
          <w:szCs w:val="24"/>
          <w:lang w:val="en-US"/>
        </w:rPr>
        <w:t>докринология,</w:t>
      </w:r>
      <w:r>
        <w:rPr>
          <w:color w:val="000000"/>
          <w:sz w:val="24"/>
          <w:szCs w:val="24"/>
        </w:rPr>
        <w:t xml:space="preserve"> </w:t>
      </w:r>
    </w:p>
    <w:p>
      <w:pPr>
        <w:pStyle w:val="style0"/>
        <w:jc w:val="both"/>
        <w:rPr>
          <w:color w:val="000000"/>
          <w:sz w:val="24"/>
          <w:szCs w:val="24"/>
        </w:rPr>
      </w:pPr>
      <w:r>
        <w:rPr>
          <w:color w:val="000000"/>
          <w:sz w:val="24"/>
          <w:szCs w:val="24"/>
        </w:rPr>
        <w:t>утвержденной ученым советом ФГБОУ ВО ОрГМУ Минздрава России</w:t>
      </w:r>
    </w:p>
    <w:p>
      <w:pPr>
        <w:pStyle w:val="style0"/>
        <w:ind w:firstLine="709"/>
        <w:jc w:val="both"/>
        <w:rPr>
          <w:color w:val="000000"/>
          <w:sz w:val="24"/>
          <w:szCs w:val="24"/>
        </w:rPr>
      </w:pPr>
    </w:p>
    <w:p>
      <w:pPr>
        <w:pStyle w:val="style0"/>
        <w:ind w:firstLine="709"/>
        <w:jc w:val="center"/>
        <w:rPr>
          <w:color w:val="000000"/>
          <w:sz w:val="24"/>
          <w:szCs w:val="24"/>
        </w:rPr>
      </w:pPr>
      <w:r>
        <w:rPr>
          <w:color w:val="000000"/>
          <w:sz w:val="24"/>
          <w:szCs w:val="24"/>
        </w:rPr>
        <w:t>протокол № 11   от «22» июня 2018</w:t>
      </w:r>
    </w:p>
    <w:p>
      <w:pPr>
        <w:pStyle w:val="style0"/>
        <w:ind w:firstLine="709"/>
        <w:jc w:val="center"/>
        <w:rPr>
          <w:sz w:val="28"/>
        </w:rPr>
      </w:pPr>
    </w:p>
    <w:p>
      <w:pPr>
        <w:pStyle w:val="style0"/>
        <w:jc w:val="center"/>
        <w:rPr>
          <w:sz w:val="28"/>
        </w:rPr>
      </w:pPr>
      <w:r>
        <w:rPr>
          <w:sz w:val="28"/>
        </w:rPr>
        <w:t>Оренбург</w:t>
      </w:r>
    </w:p>
    <w:p>
      <w:pPr>
        <w:pStyle w:val="style0"/>
        <w:ind w:firstLine="709"/>
        <w:jc w:val="center"/>
        <w:rPr>
          <w:sz w:val="28"/>
        </w:rPr>
      </w:pPr>
    </w:p>
    <w:p>
      <w:pPr>
        <w:pStyle w:val="style0"/>
        <w:rPr>
          <w:b/>
          <w:sz w:val="28"/>
        </w:rPr>
      </w:pPr>
      <w:r>
        <w:rPr>
          <w:b/>
          <w:sz w:val="28"/>
        </w:rPr>
        <w:br w:type="page"/>
      </w:r>
    </w:p>
    <w:p>
      <w:pPr>
        <w:pStyle w:val="style0"/>
        <w:ind w:firstLine="709"/>
        <w:jc w:val="both"/>
        <w:rPr>
          <w:b/>
          <w:sz w:val="28"/>
        </w:rPr>
      </w:pPr>
      <w:r>
        <w:rPr>
          <w:b/>
          <w:sz w:val="28"/>
        </w:rPr>
        <w:t xml:space="preserve">1. Пояснительная записка </w:t>
      </w:r>
    </w:p>
    <w:p>
      <w:pPr>
        <w:pStyle w:val="style0"/>
        <w:ind w:firstLine="709"/>
        <w:jc w:val="both"/>
        <w:rPr>
          <w:sz w:val="28"/>
        </w:rPr>
      </w:pPr>
      <w:r>
        <w:rPr>
          <w:sz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pPr>
        <w:pStyle w:val="style0"/>
        <w:ind w:firstLine="709"/>
        <w:jc w:val="both"/>
        <w:rPr>
          <w:sz w:val="28"/>
        </w:rPr>
      </w:pPr>
      <w:r>
        <w:rPr>
          <w:sz w:val="28"/>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pPr>
        <w:pStyle w:val="style0"/>
        <w:ind w:firstLine="709"/>
        <w:jc w:val="both"/>
        <w:rPr>
          <w:sz w:val="28"/>
        </w:rPr>
      </w:pPr>
      <w:r>
        <w:rPr>
          <w:sz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w:t>
      </w:r>
    </w:p>
    <w:p>
      <w:pPr>
        <w:pStyle w:val="style0"/>
        <w:ind w:firstLine="709"/>
        <w:jc w:val="both"/>
        <w:rPr>
          <w:sz w:val="28"/>
        </w:rPr>
      </w:pPr>
      <w:r>
        <w:rPr>
          <w:i/>
          <w:sz w:val="28"/>
        </w:rPr>
        <w:t>Целью самостоятельной работы является закрепление и систематизация знаний по факторам риска, этиологии, патогенезу, клинике, диагностике, лечению и профилактике основных не</w:t>
      </w:r>
      <w:r>
        <w:rPr>
          <w:i/>
          <w:sz w:val="28"/>
        </w:rPr>
        <w:t>йроэндокринны</w:t>
      </w:r>
      <w:r>
        <w:rPr>
          <w:i/>
          <w:sz w:val="28"/>
        </w:rPr>
        <w:t>х заболеваний, формирование практических навыков по диагностике, дифференциальной диагностике, применению методов лечения и профилактики у пациентов с патологией нервной системы в соответствии с клиническим рекомендациями (протоколами ведения), стандартами и порядками оказания неврологической медицинской помощи</w:t>
      </w:r>
      <w:r>
        <w:rPr>
          <w:sz w:val="28"/>
        </w:rPr>
        <w:t xml:space="preserve">. </w:t>
      </w:r>
    </w:p>
    <w:p>
      <w:pPr>
        <w:pStyle w:val="style0"/>
        <w:ind w:firstLine="709"/>
        <w:jc w:val="both"/>
        <w:rPr>
          <w:b/>
          <w:sz w:val="28"/>
        </w:rPr>
      </w:pPr>
    </w:p>
    <w:p>
      <w:pPr>
        <w:pStyle w:val="style0"/>
        <w:ind w:firstLine="709"/>
        <w:jc w:val="both"/>
        <w:rPr>
          <w:b/>
          <w:sz w:val="28"/>
        </w:rPr>
      </w:pPr>
      <w:r>
        <w:rPr>
          <w:b/>
          <w:sz w:val="28"/>
        </w:rPr>
        <w:t>2. Содержание самостоятельной работы обучающихся.</w:t>
      </w:r>
    </w:p>
    <w:p>
      <w:pPr>
        <w:pStyle w:val="style0"/>
        <w:ind w:firstLine="709"/>
        <w:jc w:val="both"/>
        <w:rPr>
          <w:sz w:val="28"/>
        </w:rPr>
      </w:pPr>
    </w:p>
    <w:p>
      <w:pPr>
        <w:pStyle w:val="style0"/>
        <w:ind w:firstLine="709"/>
        <w:jc w:val="both"/>
        <w:rPr>
          <w:sz w:val="28"/>
        </w:rPr>
      </w:pPr>
      <w:r>
        <w:rPr>
          <w:sz w:val="28"/>
        </w:rPr>
        <w:t xml:space="preserve">Содержание заданий для самостоятельной работы обучающихся по дисциплине представлено </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pPr>
        <w:pStyle w:val="style0"/>
        <w:ind w:firstLine="709"/>
        <w:jc w:val="both"/>
        <w:rPr>
          <w:b/>
          <w:bCs/>
        </w:rPr>
      </w:pPr>
      <w:r>
        <w:rPr>
          <w:sz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pPr>
        <w:pStyle w:val="style0"/>
        <w:ind w:firstLine="709"/>
        <w:jc w:val="both"/>
        <w:rPr>
          <w:b/>
          <w:sz w:val="28"/>
        </w:rPr>
      </w:pPr>
    </w:p>
    <w:p>
      <w:pPr>
        <w:pStyle w:val="style0"/>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2840"/>
        <w:gridCol w:w="2026"/>
        <w:gridCol w:w="1790"/>
      </w:tblGrid>
      <w:tr>
        <w:trPr/>
        <w:tc>
          <w:tcPr>
            <w:tcW w:w="562" w:type="dxa"/>
            <w:tcBorders/>
            <w:shd w:val="clear" w:color="auto" w:fill="auto"/>
          </w:tcPr>
          <w:p>
            <w:pPr>
              <w:pStyle w:val="style0"/>
              <w:jc w:val="center"/>
              <w:rPr>
                <w:sz w:val="28"/>
                <w:szCs w:val="28"/>
              </w:rPr>
            </w:pPr>
            <w:r>
              <w:rPr>
                <w:sz w:val="28"/>
                <w:szCs w:val="28"/>
              </w:rPr>
              <w:t>№</w:t>
            </w:r>
          </w:p>
        </w:tc>
        <w:tc>
          <w:tcPr>
            <w:tcW w:w="2977" w:type="dxa"/>
            <w:tcBorders/>
            <w:shd w:val="clear" w:color="auto" w:fill="auto"/>
          </w:tcPr>
          <w:p>
            <w:pPr>
              <w:pStyle w:val="style0"/>
              <w:jc w:val="center"/>
              <w:rPr>
                <w:sz w:val="28"/>
                <w:szCs w:val="28"/>
              </w:rPr>
            </w:pPr>
            <w:r>
              <w:rPr>
                <w:sz w:val="28"/>
                <w:szCs w:val="28"/>
              </w:rPr>
              <w:t>Тема самостоятельной</w:t>
            </w:r>
          </w:p>
          <w:p>
            <w:pPr>
              <w:pStyle w:val="style0"/>
              <w:jc w:val="center"/>
              <w:rPr>
                <w:sz w:val="28"/>
                <w:szCs w:val="28"/>
              </w:rPr>
            </w:pPr>
            <w:r>
              <w:rPr>
                <w:sz w:val="28"/>
                <w:szCs w:val="28"/>
              </w:rPr>
              <w:t>работы</w:t>
            </w:r>
          </w:p>
        </w:tc>
        <w:tc>
          <w:tcPr>
            <w:tcW w:w="2840" w:type="dxa"/>
            <w:tcBorders/>
            <w:shd w:val="clear" w:color="auto" w:fill="auto"/>
          </w:tcPr>
          <w:p>
            <w:pPr>
              <w:pStyle w:val="style0"/>
              <w:jc w:val="center"/>
              <w:rPr>
                <w:sz w:val="28"/>
                <w:szCs w:val="28"/>
              </w:rPr>
            </w:pPr>
            <w:r>
              <w:rPr>
                <w:sz w:val="28"/>
                <w:szCs w:val="28"/>
              </w:rPr>
              <w:t>Форма</w:t>
            </w:r>
          </w:p>
          <w:p>
            <w:pPr>
              <w:pStyle w:val="style0"/>
              <w:jc w:val="center"/>
              <w:rPr>
                <w:sz w:val="28"/>
                <w:szCs w:val="28"/>
              </w:rPr>
            </w:pPr>
            <w:r>
              <w:rPr>
                <w:sz w:val="28"/>
                <w:szCs w:val="28"/>
              </w:rPr>
              <w:t>самостоятельной работы</w:t>
            </w:r>
          </w:p>
        </w:tc>
        <w:tc>
          <w:tcPr>
            <w:tcW w:w="2026" w:type="dxa"/>
            <w:tcBorders/>
            <w:shd w:val="clear" w:color="auto" w:fill="auto"/>
          </w:tcPr>
          <w:p>
            <w:pPr>
              <w:pStyle w:val="style0"/>
              <w:jc w:val="center"/>
              <w:rPr>
                <w:sz w:val="28"/>
                <w:szCs w:val="28"/>
              </w:rPr>
            </w:pPr>
            <w:r>
              <w:rPr>
                <w:sz w:val="28"/>
                <w:szCs w:val="28"/>
              </w:rPr>
              <w:t>Форма контроля самостоятельной работы</w:t>
            </w:r>
          </w:p>
          <w:p>
            <w:pPr>
              <w:pStyle w:val="style0"/>
              <w:jc w:val="center"/>
              <w:rPr>
                <w:i/>
                <w:sz w:val="28"/>
                <w:szCs w:val="28"/>
              </w:rPr>
            </w:pPr>
            <w:r>
              <w:rPr>
                <w:i/>
                <w:sz w:val="28"/>
                <w:szCs w:val="28"/>
              </w:rPr>
              <w:t>(в соответствии с разделом 4 РП)</w:t>
            </w:r>
          </w:p>
        </w:tc>
        <w:tc>
          <w:tcPr>
            <w:tcW w:w="1790" w:type="dxa"/>
            <w:tcBorders/>
            <w:shd w:val="clear" w:color="auto" w:fill="auto"/>
          </w:tcPr>
          <w:p>
            <w:pPr>
              <w:pStyle w:val="style0"/>
              <w:jc w:val="center"/>
              <w:rPr>
                <w:sz w:val="28"/>
                <w:szCs w:val="28"/>
              </w:rPr>
            </w:pPr>
            <w:r>
              <w:rPr>
                <w:sz w:val="28"/>
                <w:szCs w:val="28"/>
              </w:rPr>
              <w:t>Форма</w:t>
            </w:r>
          </w:p>
          <w:p>
            <w:pPr>
              <w:pStyle w:val="style0"/>
              <w:jc w:val="center"/>
              <w:rPr>
                <w:sz w:val="28"/>
                <w:szCs w:val="28"/>
              </w:rPr>
            </w:pPr>
            <w:r>
              <w:rPr>
                <w:sz w:val="28"/>
                <w:szCs w:val="28"/>
              </w:rPr>
              <w:t>контактной</w:t>
            </w:r>
          </w:p>
          <w:p>
            <w:pPr>
              <w:pStyle w:val="style0"/>
              <w:jc w:val="center"/>
              <w:rPr>
                <w:sz w:val="28"/>
                <w:szCs w:val="28"/>
              </w:rPr>
            </w:pPr>
            <w:r>
              <w:rPr>
                <w:sz w:val="28"/>
                <w:szCs w:val="28"/>
              </w:rPr>
              <w:t>работы при</w:t>
            </w:r>
          </w:p>
          <w:p>
            <w:pPr>
              <w:pStyle w:val="style0"/>
              <w:jc w:val="center"/>
              <w:rPr>
                <w:sz w:val="28"/>
                <w:szCs w:val="28"/>
              </w:rPr>
            </w:pPr>
            <w:r>
              <w:rPr>
                <w:sz w:val="28"/>
                <w:szCs w:val="28"/>
              </w:rPr>
              <w:t>проведении</w:t>
            </w:r>
          </w:p>
          <w:p>
            <w:pPr>
              <w:pStyle w:val="style0"/>
              <w:jc w:val="center"/>
              <w:rPr>
                <w:sz w:val="28"/>
                <w:szCs w:val="28"/>
              </w:rPr>
            </w:pPr>
            <w:r>
              <w:rPr>
                <w:sz w:val="28"/>
                <w:szCs w:val="28"/>
              </w:rPr>
              <w:t>текущего</w:t>
            </w:r>
          </w:p>
          <w:p>
            <w:pPr>
              <w:pStyle w:val="style0"/>
              <w:jc w:val="center"/>
              <w:rPr>
                <w:sz w:val="28"/>
                <w:szCs w:val="28"/>
              </w:rPr>
            </w:pPr>
            <w:r>
              <w:rPr>
                <w:sz w:val="28"/>
                <w:szCs w:val="28"/>
              </w:rPr>
              <w:t>контроля</w:t>
            </w:r>
          </w:p>
        </w:tc>
      </w:tr>
      <w:tr>
        <w:tblPrEx/>
        <w:trPr/>
        <w:tc>
          <w:tcPr>
            <w:tcW w:w="562" w:type="dxa"/>
            <w:tcBorders/>
            <w:shd w:val="clear" w:color="auto" w:fill="auto"/>
          </w:tcPr>
          <w:p>
            <w:pPr>
              <w:pStyle w:val="style0"/>
              <w:jc w:val="center"/>
              <w:rPr>
                <w:i/>
                <w:sz w:val="22"/>
                <w:szCs w:val="28"/>
              </w:rPr>
            </w:pPr>
            <w:r>
              <w:rPr>
                <w:i/>
                <w:sz w:val="22"/>
                <w:szCs w:val="28"/>
              </w:rPr>
              <w:t>1</w:t>
            </w:r>
          </w:p>
        </w:tc>
        <w:tc>
          <w:tcPr>
            <w:tcW w:w="2977" w:type="dxa"/>
            <w:tcBorders/>
            <w:shd w:val="clear" w:color="auto" w:fill="auto"/>
          </w:tcPr>
          <w:p>
            <w:pPr>
              <w:pStyle w:val="style0"/>
              <w:jc w:val="center"/>
              <w:rPr>
                <w:i/>
                <w:sz w:val="22"/>
                <w:szCs w:val="28"/>
              </w:rPr>
            </w:pPr>
            <w:r>
              <w:rPr>
                <w:i/>
                <w:sz w:val="22"/>
                <w:szCs w:val="28"/>
              </w:rPr>
              <w:t>2</w:t>
            </w:r>
          </w:p>
        </w:tc>
        <w:tc>
          <w:tcPr>
            <w:tcW w:w="2840" w:type="dxa"/>
            <w:tcBorders/>
            <w:shd w:val="clear" w:color="auto" w:fill="auto"/>
          </w:tcPr>
          <w:p>
            <w:pPr>
              <w:pStyle w:val="style0"/>
              <w:jc w:val="center"/>
              <w:rPr>
                <w:i/>
                <w:sz w:val="22"/>
                <w:szCs w:val="28"/>
              </w:rPr>
            </w:pPr>
            <w:r>
              <w:rPr>
                <w:i/>
                <w:sz w:val="22"/>
                <w:szCs w:val="28"/>
              </w:rPr>
              <w:t>3</w:t>
            </w:r>
          </w:p>
        </w:tc>
        <w:tc>
          <w:tcPr>
            <w:tcW w:w="2026" w:type="dxa"/>
            <w:tcBorders/>
            <w:shd w:val="clear" w:color="auto" w:fill="auto"/>
          </w:tcPr>
          <w:p>
            <w:pPr>
              <w:pStyle w:val="style0"/>
              <w:jc w:val="center"/>
              <w:rPr>
                <w:i/>
                <w:sz w:val="22"/>
                <w:szCs w:val="28"/>
              </w:rPr>
            </w:pPr>
            <w:r>
              <w:rPr>
                <w:i/>
                <w:sz w:val="22"/>
                <w:szCs w:val="28"/>
              </w:rPr>
              <w:t>4</w:t>
            </w:r>
          </w:p>
        </w:tc>
        <w:tc>
          <w:tcPr>
            <w:tcW w:w="1790" w:type="dxa"/>
            <w:tcBorders/>
            <w:shd w:val="clear" w:color="auto" w:fill="auto"/>
          </w:tcPr>
          <w:p>
            <w:pPr>
              <w:pStyle w:val="style0"/>
              <w:jc w:val="center"/>
              <w:rPr>
                <w:i/>
                <w:sz w:val="22"/>
                <w:szCs w:val="28"/>
              </w:rPr>
            </w:pPr>
            <w:r>
              <w:rPr>
                <w:i/>
                <w:sz w:val="22"/>
                <w:szCs w:val="28"/>
              </w:rPr>
              <w:t>5</w:t>
            </w:r>
          </w:p>
        </w:tc>
      </w:tr>
      <w:tr>
        <w:tblPrEx/>
        <w:trPr/>
        <w:tc>
          <w:tcPr>
            <w:tcW w:w="10195" w:type="dxa"/>
            <w:gridSpan w:val="5"/>
            <w:tcBorders/>
            <w:shd w:val="clear" w:color="auto" w:fill="auto"/>
          </w:tcPr>
          <w:p>
            <w:pPr>
              <w:pStyle w:val="style0"/>
              <w:jc w:val="center"/>
              <w:rPr>
                <w:i/>
                <w:sz w:val="28"/>
                <w:szCs w:val="28"/>
              </w:rPr>
            </w:pPr>
            <w:r>
              <w:rPr>
                <w:i/>
                <w:sz w:val="28"/>
                <w:szCs w:val="28"/>
              </w:rPr>
              <w:t>Самостоятельная работа в рамках практических занятий</w:t>
            </w:r>
          </w:p>
          <w:p>
            <w:pPr>
              <w:pStyle w:val="style0"/>
              <w:jc w:val="center"/>
              <w:rPr>
                <w:i/>
                <w:sz w:val="28"/>
                <w:szCs w:val="28"/>
              </w:rPr>
            </w:pPr>
            <w:r>
              <w:rPr>
                <w:i/>
                <w:sz w:val="28"/>
                <w:szCs w:val="28"/>
              </w:rPr>
              <w:t>дисциплины «Неврология»</w:t>
            </w:r>
          </w:p>
        </w:tc>
      </w:tr>
      <w:tr>
        <w:tblPrEx/>
        <w:trPr/>
        <w:tc>
          <w:tcPr>
            <w:tcW w:w="562" w:type="dxa"/>
            <w:tcBorders/>
            <w:shd w:val="clear" w:color="auto" w:fill="auto"/>
          </w:tcPr>
          <w:p>
            <w:pPr>
              <w:pStyle w:val="style0"/>
              <w:rPr>
                <w:sz w:val="28"/>
                <w:szCs w:val="28"/>
              </w:rPr>
            </w:pPr>
            <w:r>
              <w:rPr>
                <w:sz w:val="28"/>
                <w:szCs w:val="28"/>
              </w:rPr>
              <w:t>1</w:t>
            </w:r>
          </w:p>
        </w:tc>
        <w:tc>
          <w:tcPr>
            <w:tcW w:w="2977" w:type="dxa"/>
            <w:tcBorders/>
            <w:shd w:val="clear" w:color="auto" w:fill="auto"/>
          </w:tcPr>
          <w:p>
            <w:pPr>
              <w:pStyle w:val="style0"/>
              <w:rPr>
                <w:sz w:val="28"/>
                <w:szCs w:val="28"/>
              </w:rPr>
            </w:pPr>
            <w:r>
              <w:rPr>
                <w:sz w:val="28"/>
                <w:szCs w:val="28"/>
              </w:rPr>
              <w:t>Тема "</w:t>
            </w:r>
            <w:r>
              <w:rPr>
                <w:color w:val="000000"/>
                <w:sz w:val="28"/>
                <w:szCs w:val="28"/>
              </w:rPr>
              <w:t xml:space="preserve"> </w:t>
            </w:r>
            <w:r>
              <w:rPr>
                <w:color w:val="000000"/>
                <w:sz w:val="28"/>
                <w:szCs w:val="28"/>
              </w:rPr>
              <w:t>Поражение нервной системы при сахарном диабете</w:t>
            </w:r>
            <w:r>
              <w:rPr>
                <w:color w:val="000000"/>
                <w:sz w:val="28"/>
                <w:szCs w:val="28"/>
              </w:rPr>
              <w:t>.</w:t>
            </w:r>
            <w:r>
              <w:rPr>
                <w:b/>
                <w:color w:val="000000"/>
                <w:sz w:val="28"/>
                <w:szCs w:val="28"/>
              </w:rPr>
              <w:t xml:space="preserve"> </w:t>
            </w:r>
            <w:r>
              <w:rPr>
                <w:sz w:val="28"/>
                <w:szCs w:val="28"/>
              </w:rPr>
              <w:t>Диабетическая полинейропатия,</w:t>
            </w:r>
            <w:r>
              <w:rPr>
                <w:sz w:val="28"/>
                <w:szCs w:val="28"/>
              </w:rPr>
              <w:t xml:space="preserve"> </w:t>
            </w:r>
            <w:r>
              <w:rPr>
                <w:sz w:val="28"/>
                <w:szCs w:val="28"/>
              </w:rPr>
              <w:t xml:space="preserve">Диабетическая энцефалопатия и миелопатия. </w:t>
            </w:r>
            <w:r>
              <w:rPr>
                <w:sz w:val="28"/>
                <w:szCs w:val="28"/>
              </w:rPr>
              <w:t>Н</w:t>
            </w:r>
            <w:r>
              <w:rPr>
                <w:sz w:val="28"/>
                <w:szCs w:val="28"/>
              </w:rPr>
              <w:t>ейропатическая боль. Расстройства сознания при нарушении углеводного обмена. Комы</w:t>
            </w:r>
            <w:r>
              <w:rPr>
                <w:sz w:val="28"/>
                <w:szCs w:val="28"/>
              </w:rPr>
              <w:t xml:space="preserve">: гипергликемическая, гипогликемическая, гиперосмолярная. </w:t>
            </w:r>
            <w:r>
              <w:rPr>
                <w:sz w:val="28"/>
                <w:szCs w:val="28"/>
              </w:rPr>
              <w:t xml:space="preserve"> </w:t>
            </w:r>
            <w:bookmarkStart w:id="0" w:name="_GoBack"/>
            <w:bookmarkEnd w:id="0"/>
          </w:p>
          <w:p>
            <w:pPr>
              <w:pStyle w:val="style0"/>
              <w:rPr>
                <w:sz w:val="28"/>
                <w:szCs w:val="28"/>
              </w:rPr>
            </w:pPr>
          </w:p>
        </w:tc>
        <w:tc>
          <w:tcPr>
            <w:tcW w:w="2840" w:type="dxa"/>
            <w:tcBorders/>
            <w:shd w:val="clear" w:color="auto" w:fill="auto"/>
          </w:tcPr>
          <w:p>
            <w:pPr>
              <w:pStyle w:val="style0"/>
              <w:rPr>
                <w:sz w:val="28"/>
                <w:szCs w:val="28"/>
              </w:rPr>
            </w:pPr>
            <w:r>
              <w:rPr>
                <w:i/>
                <w:sz w:val="28"/>
                <w:szCs w:val="28"/>
              </w:rPr>
              <w:t>для овладения, закрепления и систематизации знаний</w:t>
            </w:r>
            <w:r>
              <w:rPr>
                <w:sz w:val="28"/>
                <w:szCs w:val="28"/>
              </w:rPr>
              <w:t>: работа с конспектом лекции; работа над учебным материалом (основной и дополнительной литературы, ресурсов Интернет); ознакомление с клиническими рекомендациями, порядками и стандартами оказания медицинской помощи; подготовка рефератов.</w:t>
            </w:r>
          </w:p>
          <w:p>
            <w:pPr>
              <w:pStyle w:val="style0"/>
              <w:rPr>
                <w:sz w:val="28"/>
                <w:szCs w:val="28"/>
              </w:rPr>
            </w:pPr>
            <w:r>
              <w:rPr>
                <w:i/>
                <w:sz w:val="28"/>
                <w:szCs w:val="28"/>
              </w:rPr>
              <w:t>для формирования умений</w:t>
            </w:r>
            <w:r>
              <w:rPr>
                <w:sz w:val="28"/>
                <w:szCs w:val="28"/>
              </w:rPr>
              <w:t>: решение ситуационных задач.</w:t>
            </w:r>
          </w:p>
        </w:tc>
        <w:tc>
          <w:tcPr>
            <w:tcW w:w="2026" w:type="dxa"/>
            <w:tcBorders/>
            <w:shd w:val="clear" w:color="auto" w:fill="auto"/>
          </w:tcPr>
          <w:p>
            <w:pPr>
              <w:pStyle w:val="style0"/>
              <w:rPr>
                <w:sz w:val="28"/>
                <w:szCs w:val="28"/>
              </w:rPr>
            </w:pPr>
            <w:r>
              <w:rPr>
                <w:sz w:val="28"/>
                <w:szCs w:val="28"/>
              </w:rPr>
              <w:t>тестирование, реферат; решение ситуационных задач</w:t>
            </w:r>
          </w:p>
        </w:tc>
        <w:tc>
          <w:tcPr>
            <w:tcW w:w="1790" w:type="dxa"/>
            <w:tcBorders/>
            <w:shd w:val="clear" w:color="auto" w:fill="auto"/>
          </w:tcPr>
          <w:p>
            <w:pPr>
              <w:pStyle w:val="style0"/>
              <w:rPr>
                <w:sz w:val="28"/>
                <w:szCs w:val="28"/>
              </w:rPr>
            </w:pPr>
            <w:r>
              <w:rPr>
                <w:sz w:val="28"/>
                <w:szCs w:val="28"/>
              </w:rPr>
              <w:t>аудиторная - на практических занятиях;</w:t>
            </w:r>
          </w:p>
          <w:p>
            <w:pPr>
              <w:pStyle w:val="style0"/>
              <w:rPr>
                <w:sz w:val="28"/>
                <w:szCs w:val="28"/>
              </w:rPr>
            </w:pPr>
            <w:r>
              <w:rPr>
                <w:sz w:val="28"/>
                <w:szCs w:val="28"/>
              </w:rPr>
              <w:t>внеаудиторная -</w:t>
            </w:r>
          </w:p>
          <w:p>
            <w:pPr>
              <w:pStyle w:val="style0"/>
              <w:rPr>
                <w:sz w:val="28"/>
                <w:szCs w:val="28"/>
              </w:rPr>
            </w:pPr>
            <w:r>
              <w:rPr>
                <w:sz w:val="28"/>
                <w:szCs w:val="28"/>
              </w:rPr>
              <w:t>КСР</w:t>
            </w:r>
          </w:p>
        </w:tc>
      </w:tr>
      <w:tr>
        <w:tblPrEx/>
        <w:trPr/>
        <w:tc>
          <w:tcPr>
            <w:tcW w:w="562" w:type="dxa"/>
            <w:tcBorders/>
            <w:shd w:val="clear" w:color="auto" w:fill="auto"/>
          </w:tcPr>
          <w:p>
            <w:pPr>
              <w:pStyle w:val="style0"/>
              <w:rPr>
                <w:sz w:val="28"/>
                <w:szCs w:val="28"/>
              </w:rPr>
            </w:pPr>
            <w:r>
              <w:rPr>
                <w:sz w:val="28"/>
                <w:szCs w:val="28"/>
              </w:rPr>
              <w:t>2</w:t>
            </w:r>
          </w:p>
        </w:tc>
        <w:tc>
          <w:tcPr>
            <w:tcW w:w="2977" w:type="dxa"/>
            <w:tcBorders/>
            <w:shd w:val="clear" w:color="auto" w:fill="auto"/>
          </w:tcPr>
          <w:p>
            <w:pPr>
              <w:pStyle w:val="style0"/>
              <w:rPr>
                <w:sz w:val="28"/>
                <w:szCs w:val="28"/>
              </w:rPr>
            </w:pPr>
            <w:r>
              <w:rPr>
                <w:sz w:val="28"/>
                <w:szCs w:val="28"/>
              </w:rPr>
              <w:t>Тема "</w:t>
            </w:r>
            <w:r>
              <w:rPr>
                <w:sz w:val="28"/>
                <w:szCs w:val="28"/>
              </w:rPr>
              <w:t xml:space="preserve"> Врожденные и наследственные эндокринопатии. Нервно-мышечные синдромы при эндокринных заболеваниях. Неврологические проявления при феохромоцитоме. Роль эндокринопатий в развитии демиелинизирующих заболеваний нервной системы.</w:t>
            </w:r>
            <w:r>
              <w:rPr>
                <w:sz w:val="28"/>
                <w:szCs w:val="28"/>
              </w:rPr>
              <w:t xml:space="preserve"> </w:t>
            </w:r>
            <w:r>
              <w:rPr>
                <w:sz w:val="28"/>
                <w:szCs w:val="28"/>
              </w:rPr>
              <w:t>"</w:t>
            </w:r>
          </w:p>
          <w:p>
            <w:pPr>
              <w:pStyle w:val="style0"/>
              <w:rPr>
                <w:sz w:val="28"/>
                <w:szCs w:val="28"/>
              </w:rPr>
            </w:pPr>
          </w:p>
        </w:tc>
        <w:tc>
          <w:tcPr>
            <w:tcW w:w="2840" w:type="dxa"/>
            <w:tcBorders/>
            <w:shd w:val="clear" w:color="auto" w:fill="auto"/>
          </w:tcPr>
          <w:p>
            <w:pPr>
              <w:pStyle w:val="style0"/>
              <w:rPr>
                <w:sz w:val="28"/>
                <w:szCs w:val="28"/>
              </w:rPr>
            </w:pPr>
            <w:r>
              <w:rPr>
                <w:i/>
                <w:sz w:val="28"/>
                <w:szCs w:val="28"/>
              </w:rPr>
              <w:t>для овладения, закрепления и систематизации знаний</w:t>
            </w:r>
            <w:r>
              <w:rPr>
                <w:sz w:val="28"/>
                <w:szCs w:val="28"/>
              </w:rPr>
              <w:t>: работа с конспектом лекции; работа над учебным материалом (основной и дополнительной литературы, ресурсов Интернет); ознакомление с клиническими рекомендациями, порядками и стандартами оказания медицинской помощи; подготовка рефератов.</w:t>
            </w:r>
          </w:p>
          <w:p>
            <w:pPr>
              <w:pStyle w:val="style0"/>
              <w:rPr>
                <w:sz w:val="28"/>
                <w:szCs w:val="28"/>
              </w:rPr>
            </w:pPr>
            <w:r>
              <w:rPr>
                <w:i/>
                <w:sz w:val="28"/>
                <w:szCs w:val="28"/>
              </w:rPr>
              <w:t>для формирования умений</w:t>
            </w:r>
            <w:r>
              <w:rPr>
                <w:sz w:val="28"/>
                <w:szCs w:val="28"/>
              </w:rPr>
              <w:t>: решение ситуационных задач.</w:t>
            </w:r>
          </w:p>
        </w:tc>
        <w:tc>
          <w:tcPr>
            <w:tcW w:w="2026" w:type="dxa"/>
            <w:tcBorders/>
            <w:shd w:val="clear" w:color="auto" w:fill="auto"/>
          </w:tcPr>
          <w:p>
            <w:pPr>
              <w:pStyle w:val="style0"/>
              <w:rPr>
                <w:sz w:val="28"/>
                <w:szCs w:val="28"/>
              </w:rPr>
            </w:pPr>
            <w:r>
              <w:rPr>
                <w:sz w:val="28"/>
                <w:szCs w:val="28"/>
              </w:rPr>
              <w:t>тестирование, реферат;</w:t>
            </w:r>
          </w:p>
          <w:p>
            <w:pPr>
              <w:pStyle w:val="style0"/>
              <w:rPr>
                <w:sz w:val="28"/>
                <w:szCs w:val="28"/>
              </w:rPr>
            </w:pPr>
            <w:r>
              <w:rPr>
                <w:sz w:val="28"/>
                <w:szCs w:val="28"/>
              </w:rPr>
              <w:t>решение ситуационных задач</w:t>
            </w:r>
          </w:p>
        </w:tc>
        <w:tc>
          <w:tcPr>
            <w:tcW w:w="1790" w:type="dxa"/>
            <w:tcBorders/>
            <w:shd w:val="clear" w:color="auto" w:fill="auto"/>
          </w:tcPr>
          <w:p>
            <w:pPr>
              <w:pStyle w:val="style0"/>
              <w:rPr>
                <w:sz w:val="28"/>
                <w:szCs w:val="28"/>
              </w:rPr>
            </w:pPr>
            <w:r>
              <w:rPr>
                <w:sz w:val="28"/>
                <w:szCs w:val="28"/>
              </w:rPr>
              <w:t>аудиторная - на практических занятиях;</w:t>
            </w:r>
          </w:p>
          <w:p>
            <w:pPr>
              <w:pStyle w:val="style0"/>
              <w:rPr>
                <w:sz w:val="28"/>
                <w:szCs w:val="28"/>
              </w:rPr>
            </w:pPr>
            <w:r>
              <w:rPr>
                <w:sz w:val="28"/>
                <w:szCs w:val="28"/>
              </w:rPr>
              <w:t>внеаудиторная -</w:t>
            </w:r>
          </w:p>
          <w:p>
            <w:pPr>
              <w:pStyle w:val="style0"/>
              <w:rPr>
                <w:sz w:val="28"/>
                <w:szCs w:val="28"/>
              </w:rPr>
            </w:pPr>
            <w:r>
              <w:rPr>
                <w:sz w:val="28"/>
                <w:szCs w:val="28"/>
              </w:rPr>
              <w:t>КСР</w:t>
            </w:r>
          </w:p>
        </w:tc>
      </w:tr>
      <w:tr>
        <w:tblPrEx/>
        <w:trPr/>
        <w:tc>
          <w:tcPr>
            <w:tcW w:w="562" w:type="dxa"/>
            <w:tcBorders/>
            <w:shd w:val="clear" w:color="auto" w:fill="auto"/>
          </w:tcPr>
          <w:p>
            <w:pPr>
              <w:pStyle w:val="style0"/>
              <w:rPr>
                <w:sz w:val="28"/>
                <w:szCs w:val="28"/>
              </w:rPr>
            </w:pPr>
            <w:r>
              <w:rPr>
                <w:sz w:val="28"/>
                <w:szCs w:val="28"/>
              </w:rPr>
              <w:t>3</w:t>
            </w:r>
          </w:p>
        </w:tc>
        <w:tc>
          <w:tcPr>
            <w:tcW w:w="2977" w:type="dxa"/>
            <w:tcBorders/>
            <w:shd w:val="clear" w:color="auto" w:fill="auto"/>
          </w:tcPr>
          <w:p>
            <w:pPr>
              <w:pStyle w:val="style0"/>
              <w:rPr>
                <w:sz w:val="28"/>
                <w:szCs w:val="28"/>
              </w:rPr>
            </w:pPr>
            <w:r>
              <w:rPr>
                <w:sz w:val="28"/>
                <w:szCs w:val="28"/>
              </w:rPr>
              <w:t>Тема "</w:t>
            </w:r>
            <w:r>
              <w:rPr>
                <w:b/>
                <w:sz w:val="28"/>
                <w:szCs w:val="28"/>
              </w:rPr>
              <w:t xml:space="preserve"> Н</w:t>
            </w:r>
            <w:r>
              <w:rPr>
                <w:sz w:val="28"/>
                <w:szCs w:val="28"/>
              </w:rPr>
              <w:t>еврологические синдромы при заболеваниях гипофиза (акромегалии,</w:t>
            </w:r>
            <w:r>
              <w:rPr>
                <w:sz w:val="28"/>
                <w:szCs w:val="28"/>
              </w:rPr>
              <w:t>гипофизарном нанизме,</w:t>
            </w:r>
            <w:r>
              <w:rPr>
                <w:sz w:val="28"/>
                <w:szCs w:val="28"/>
              </w:rPr>
              <w:t xml:space="preserve"> гипопитуитаризме, </w:t>
            </w:r>
            <w:r>
              <w:rPr>
                <w:sz w:val="28"/>
                <w:szCs w:val="28"/>
              </w:rPr>
              <w:t xml:space="preserve">гиперпролактинемии, </w:t>
            </w:r>
            <w:r>
              <w:rPr>
                <w:sz w:val="28"/>
                <w:szCs w:val="28"/>
              </w:rPr>
              <w:t>синдроме неадекватной секреции АДГ) и щитовидной железы (тиреотоксикозе, гипотиреозе),диагностика,осложнения лечение.</w:t>
            </w:r>
            <w:r>
              <w:rPr>
                <w:sz w:val="28"/>
                <w:szCs w:val="28"/>
              </w:rPr>
              <w:t xml:space="preserve"> </w:t>
            </w:r>
            <w:r>
              <w:rPr>
                <w:sz w:val="28"/>
                <w:szCs w:val="28"/>
              </w:rPr>
              <w:t>"</w:t>
            </w:r>
          </w:p>
          <w:p>
            <w:pPr>
              <w:pStyle w:val="style0"/>
              <w:rPr>
                <w:sz w:val="28"/>
                <w:szCs w:val="28"/>
              </w:rPr>
            </w:pPr>
          </w:p>
        </w:tc>
        <w:tc>
          <w:tcPr>
            <w:tcW w:w="2840" w:type="dxa"/>
            <w:tcBorders/>
            <w:shd w:val="clear" w:color="auto" w:fill="auto"/>
          </w:tcPr>
          <w:p>
            <w:pPr>
              <w:pStyle w:val="style0"/>
              <w:rPr>
                <w:sz w:val="28"/>
                <w:szCs w:val="28"/>
              </w:rPr>
            </w:pPr>
            <w:r>
              <w:rPr>
                <w:i/>
                <w:sz w:val="28"/>
                <w:szCs w:val="28"/>
              </w:rPr>
              <w:t>для овладения, закрепления и систематизации знаний</w:t>
            </w:r>
            <w:r>
              <w:rPr>
                <w:sz w:val="28"/>
                <w:szCs w:val="28"/>
              </w:rPr>
              <w:t>: работа с конспектом лекции; работа над учебным материалом (основной и дополнительной литературы, ресурсов Интернет); ознакомление с клиническими рекомендациями, порядками и стандартами оказания медицинской помощи; подготовка рефератов.</w:t>
            </w:r>
          </w:p>
          <w:p>
            <w:pPr>
              <w:pStyle w:val="style0"/>
              <w:rPr>
                <w:sz w:val="28"/>
                <w:szCs w:val="28"/>
              </w:rPr>
            </w:pPr>
            <w:r>
              <w:rPr>
                <w:i/>
                <w:sz w:val="28"/>
                <w:szCs w:val="28"/>
              </w:rPr>
              <w:t>для формирования умений</w:t>
            </w:r>
            <w:r>
              <w:rPr>
                <w:sz w:val="28"/>
                <w:szCs w:val="28"/>
              </w:rPr>
              <w:t>: решение ситуационных задач.</w:t>
            </w:r>
          </w:p>
        </w:tc>
        <w:tc>
          <w:tcPr>
            <w:tcW w:w="2026" w:type="dxa"/>
            <w:tcBorders/>
            <w:shd w:val="clear" w:color="auto" w:fill="auto"/>
          </w:tcPr>
          <w:p>
            <w:pPr>
              <w:pStyle w:val="style0"/>
              <w:rPr>
                <w:sz w:val="28"/>
                <w:szCs w:val="28"/>
              </w:rPr>
            </w:pPr>
            <w:r>
              <w:rPr>
                <w:sz w:val="28"/>
                <w:szCs w:val="28"/>
              </w:rPr>
              <w:t>тестирование, реферат; решение ситуационных задач</w:t>
            </w:r>
          </w:p>
        </w:tc>
        <w:tc>
          <w:tcPr>
            <w:tcW w:w="1790" w:type="dxa"/>
            <w:tcBorders/>
            <w:shd w:val="clear" w:color="auto" w:fill="auto"/>
          </w:tcPr>
          <w:p>
            <w:pPr>
              <w:pStyle w:val="style0"/>
              <w:rPr>
                <w:sz w:val="28"/>
                <w:szCs w:val="28"/>
              </w:rPr>
            </w:pPr>
            <w:r>
              <w:rPr>
                <w:sz w:val="28"/>
                <w:szCs w:val="28"/>
              </w:rPr>
              <w:t>аудиторная - на практических занятиях;</w:t>
            </w:r>
          </w:p>
          <w:p>
            <w:pPr>
              <w:pStyle w:val="style0"/>
              <w:rPr>
                <w:sz w:val="28"/>
                <w:szCs w:val="28"/>
              </w:rPr>
            </w:pPr>
            <w:r>
              <w:rPr>
                <w:sz w:val="28"/>
                <w:szCs w:val="28"/>
              </w:rPr>
              <w:t>внеаудиторная -</w:t>
            </w:r>
          </w:p>
          <w:p>
            <w:pPr>
              <w:pStyle w:val="style0"/>
              <w:rPr>
                <w:sz w:val="28"/>
                <w:szCs w:val="28"/>
              </w:rPr>
            </w:pPr>
            <w:r>
              <w:rPr>
                <w:sz w:val="28"/>
                <w:szCs w:val="28"/>
              </w:rPr>
              <w:t>КСР</w:t>
            </w:r>
          </w:p>
        </w:tc>
      </w:tr>
    </w:tbl>
    <w:p>
      <w:pPr>
        <w:pStyle w:val="style0"/>
        <w:ind w:firstLine="709"/>
        <w:jc w:val="both"/>
        <w:rPr>
          <w:sz w:val="28"/>
          <w:highlight w:val="yellow"/>
        </w:rPr>
      </w:pPr>
    </w:p>
    <w:p>
      <w:pPr>
        <w:pStyle w:val="style0"/>
        <w:ind w:firstLine="709"/>
        <w:jc w:val="both"/>
        <w:rPr>
          <w:sz w:val="28"/>
          <w:vertAlign w:val="superscript"/>
        </w:rPr>
      </w:pPr>
    </w:p>
    <w:p>
      <w:pPr>
        <w:pStyle w:val="style0"/>
        <w:ind w:firstLine="709"/>
        <w:jc w:val="both"/>
        <w:rPr>
          <w:sz w:val="28"/>
        </w:rPr>
      </w:pPr>
    </w:p>
    <w:p>
      <w:pPr>
        <w:pStyle w:val="style0"/>
        <w:ind w:firstLine="709"/>
        <w:jc w:val="both"/>
        <w:rPr>
          <w:sz w:val="28"/>
        </w:rPr>
      </w:pPr>
      <w:r>
        <w:rPr>
          <w:b/>
          <w:sz w:val="28"/>
        </w:rPr>
        <w:t xml:space="preserve">3. Методические указания по выполнению заданий для самостоятельной работы по дисциплине. </w:t>
      </w:r>
    </w:p>
    <w:p>
      <w:pPr>
        <w:pStyle w:val="style0"/>
        <w:ind w:firstLine="709"/>
        <w:jc w:val="both"/>
        <w:rPr>
          <w:sz w:val="28"/>
        </w:rPr>
      </w:pPr>
    </w:p>
    <w:p>
      <w:pPr>
        <w:pStyle w:val="style0"/>
        <w:ind w:firstLine="709"/>
        <w:jc w:val="center"/>
        <w:rPr>
          <w:b/>
          <w:sz w:val="28"/>
          <w:szCs w:val="28"/>
        </w:rPr>
      </w:pPr>
      <w:r>
        <w:rPr>
          <w:b/>
          <w:sz w:val="28"/>
          <w:szCs w:val="28"/>
        </w:rPr>
        <w:t>Методические указания обучающимся</w:t>
      </w:r>
    </w:p>
    <w:p>
      <w:pPr>
        <w:pStyle w:val="style0"/>
        <w:ind w:firstLine="709"/>
        <w:jc w:val="center"/>
        <w:rPr>
          <w:b/>
          <w:sz w:val="28"/>
          <w:szCs w:val="28"/>
        </w:rPr>
      </w:pPr>
      <w:r>
        <w:rPr>
          <w:b/>
          <w:sz w:val="28"/>
          <w:szCs w:val="28"/>
        </w:rPr>
        <w:t xml:space="preserve">по формированию навыков конспектирования лекционного материала </w:t>
      </w:r>
    </w:p>
    <w:p>
      <w:pPr>
        <w:pStyle w:val="style0"/>
        <w:ind w:firstLine="709"/>
        <w:jc w:val="both"/>
        <w:rPr>
          <w:color w:val="000000"/>
          <w:sz w:val="28"/>
          <w:szCs w:val="28"/>
        </w:rPr>
      </w:pPr>
      <w:r>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pPr>
        <w:pStyle w:val="style0"/>
        <w:ind w:firstLine="709"/>
        <w:jc w:val="both"/>
        <w:rPr>
          <w:color w:val="000000"/>
          <w:sz w:val="28"/>
          <w:szCs w:val="28"/>
        </w:rPr>
      </w:pPr>
      <w:r>
        <w:rPr>
          <w:color w:val="000000"/>
          <w:sz w:val="28"/>
          <w:szCs w:val="28"/>
        </w:rPr>
        <w:t>а) дорабатывать записи в будущем (уточнять, вводить новую информацию);</w:t>
      </w:r>
    </w:p>
    <w:p>
      <w:pPr>
        <w:pStyle w:val="style0"/>
        <w:ind w:firstLine="709"/>
        <w:jc w:val="both"/>
        <w:rPr>
          <w:color w:val="000000"/>
          <w:sz w:val="28"/>
          <w:szCs w:val="28"/>
        </w:rPr>
      </w:pPr>
      <w:r>
        <w:rPr>
          <w:color w:val="000000"/>
          <w:sz w:val="28"/>
          <w:szCs w:val="28"/>
        </w:rPr>
        <w:t>б) работать над содержанием записей – сопоставлять отдельные части, выделять основные идеи, делать выводы;</w:t>
      </w:r>
    </w:p>
    <w:p>
      <w:pPr>
        <w:pStyle w:val="style0"/>
        <w:ind w:firstLine="709"/>
        <w:jc w:val="both"/>
        <w:rPr>
          <w:color w:val="000000"/>
          <w:sz w:val="28"/>
          <w:szCs w:val="28"/>
        </w:rPr>
      </w:pPr>
      <w:r>
        <w:rPr>
          <w:color w:val="000000"/>
          <w:sz w:val="28"/>
          <w:szCs w:val="28"/>
        </w:rPr>
        <w:t>в) сокращать время на нахождение нужного материала в конспекте;</w:t>
      </w:r>
    </w:p>
    <w:p>
      <w:pPr>
        <w:pStyle w:val="style0"/>
        <w:ind w:firstLine="709"/>
        <w:jc w:val="both"/>
        <w:rPr>
          <w:color w:val="000000"/>
          <w:sz w:val="28"/>
          <w:szCs w:val="28"/>
        </w:rPr>
      </w:pPr>
      <w:r>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pPr>
        <w:pStyle w:val="style0"/>
        <w:ind w:firstLine="709"/>
        <w:jc w:val="both"/>
        <w:rPr>
          <w:color w:val="000000"/>
          <w:sz w:val="28"/>
          <w:szCs w:val="28"/>
        </w:rPr>
      </w:pPr>
      <w:r>
        <w:rPr>
          <w:color w:val="000000"/>
          <w:sz w:val="28"/>
          <w:szCs w:val="28"/>
        </w:rPr>
        <w:t xml:space="preserve">Чтобы выполнить пункты «в» и «г», в ходе работы над конспектом целесообразно делать пометки также карандашом: </w:t>
      </w:r>
    </w:p>
    <w:p>
      <w:pPr>
        <w:pStyle w:val="style0"/>
        <w:ind w:firstLine="709"/>
        <w:jc w:val="center"/>
        <w:rPr>
          <w:color w:val="000000"/>
          <w:sz w:val="28"/>
          <w:szCs w:val="28"/>
        </w:rPr>
      </w:pPr>
      <w:r>
        <w:rPr>
          <w:color w:val="000000"/>
          <w:sz w:val="28"/>
          <w:szCs w:val="28"/>
        </w:rPr>
        <w:t>Пример 1</w:t>
      </w:r>
    </w:p>
    <w:p>
      <w:pPr>
        <w:pStyle w:val="style0"/>
        <w:ind w:firstLine="709"/>
        <w:jc w:val="both"/>
        <w:rPr>
          <w:color w:val="000000"/>
          <w:sz w:val="28"/>
          <w:szCs w:val="28"/>
        </w:rPr>
      </w:pPr>
      <w:r>
        <w:rPr>
          <w:color w:val="000000"/>
          <w:sz w:val="28"/>
          <w:szCs w:val="28"/>
        </w:rPr>
        <w:t>/ - прочитать еще раз;</w:t>
      </w:r>
    </w:p>
    <w:p>
      <w:pPr>
        <w:pStyle w:val="style0"/>
        <w:ind w:firstLine="709"/>
        <w:jc w:val="both"/>
        <w:rPr>
          <w:color w:val="000000"/>
          <w:sz w:val="28"/>
          <w:szCs w:val="28"/>
        </w:rPr>
      </w:pPr>
      <w:r>
        <w:rPr>
          <w:color w:val="000000"/>
          <w:sz w:val="28"/>
          <w:szCs w:val="28"/>
        </w:rPr>
        <w:t>// законспектировать первоисточник;</w:t>
      </w:r>
    </w:p>
    <w:p>
      <w:pPr>
        <w:pStyle w:val="style0"/>
        <w:ind w:firstLine="709"/>
        <w:jc w:val="both"/>
        <w:rPr>
          <w:color w:val="000000"/>
          <w:sz w:val="28"/>
          <w:szCs w:val="28"/>
        </w:rPr>
      </w:pPr>
      <w:r>
        <w:rPr>
          <w:color w:val="000000"/>
          <w:sz w:val="28"/>
          <w:szCs w:val="28"/>
        </w:rPr>
        <w:t>? – непонятно, требует уточнения;</w:t>
      </w:r>
    </w:p>
    <w:p>
      <w:pPr>
        <w:pStyle w:val="style0"/>
        <w:ind w:firstLine="709"/>
        <w:jc w:val="both"/>
        <w:rPr>
          <w:color w:val="000000"/>
          <w:sz w:val="28"/>
          <w:szCs w:val="28"/>
        </w:rPr>
      </w:pPr>
      <w:r>
        <w:rPr>
          <w:color w:val="000000"/>
          <w:sz w:val="28"/>
          <w:szCs w:val="28"/>
        </w:rPr>
        <w:t>! – смело;</w:t>
      </w:r>
    </w:p>
    <w:p>
      <w:pPr>
        <w:pStyle w:val="style0"/>
        <w:ind w:firstLine="709"/>
        <w:jc w:val="both"/>
        <w:rPr>
          <w:color w:val="000000"/>
          <w:sz w:val="28"/>
          <w:szCs w:val="28"/>
        </w:rPr>
      </w:pPr>
      <w:r>
        <w:rPr>
          <w:color w:val="000000"/>
          <w:sz w:val="28"/>
          <w:szCs w:val="28"/>
        </w:rPr>
        <w:t xml:space="preserve">S – слишком сложно. </w:t>
      </w:r>
    </w:p>
    <w:p>
      <w:pPr>
        <w:pStyle w:val="style0"/>
        <w:ind w:firstLine="709"/>
        <w:jc w:val="center"/>
        <w:rPr>
          <w:color w:val="000000"/>
          <w:sz w:val="28"/>
          <w:szCs w:val="28"/>
        </w:rPr>
      </w:pPr>
      <w:r>
        <w:rPr>
          <w:color w:val="000000"/>
          <w:sz w:val="28"/>
          <w:szCs w:val="28"/>
        </w:rPr>
        <w:t>Пример 2</w:t>
      </w:r>
    </w:p>
    <w:p>
      <w:pPr>
        <w:pStyle w:val="style0"/>
        <w:ind w:firstLine="709"/>
        <w:jc w:val="both"/>
        <w:rPr>
          <w:color w:val="000000"/>
          <w:sz w:val="28"/>
          <w:szCs w:val="28"/>
        </w:rPr>
      </w:pPr>
      <w:r>
        <w:rPr>
          <w:color w:val="000000"/>
          <w:sz w:val="28"/>
          <w:szCs w:val="28"/>
        </w:rPr>
        <w:t>= - это важно;</w:t>
      </w:r>
    </w:p>
    <w:p>
      <w:pPr>
        <w:pStyle w:val="style0"/>
        <w:ind w:firstLine="709"/>
        <w:jc w:val="both"/>
        <w:rPr>
          <w:color w:val="000000"/>
          <w:sz w:val="28"/>
          <w:szCs w:val="28"/>
        </w:rPr>
      </w:pPr>
      <w:r>
        <w:rPr>
          <w:color w:val="000000"/>
          <w:sz w:val="28"/>
          <w:szCs w:val="28"/>
        </w:rPr>
        <w:t>[ - сделать выписки;</w:t>
      </w:r>
    </w:p>
    <w:p>
      <w:pPr>
        <w:pStyle w:val="style0"/>
        <w:ind w:firstLine="709"/>
        <w:jc w:val="both"/>
        <w:rPr>
          <w:color w:val="000000"/>
          <w:sz w:val="28"/>
          <w:szCs w:val="28"/>
        </w:rPr>
      </w:pPr>
      <w:r>
        <w:rPr>
          <w:color w:val="000000"/>
          <w:sz w:val="28"/>
          <w:szCs w:val="28"/>
        </w:rPr>
        <w:t>[ ] – выписки сделаны;</w:t>
      </w:r>
    </w:p>
    <w:p>
      <w:pPr>
        <w:pStyle w:val="style0"/>
        <w:ind w:firstLine="709"/>
        <w:jc w:val="both"/>
        <w:rPr>
          <w:color w:val="000000"/>
          <w:sz w:val="28"/>
          <w:szCs w:val="28"/>
        </w:rPr>
      </w:pPr>
      <w:r>
        <w:rPr>
          <w:color w:val="000000"/>
          <w:sz w:val="28"/>
          <w:szCs w:val="28"/>
        </w:rPr>
        <w:t>! – очень важно;</w:t>
      </w:r>
    </w:p>
    <w:p>
      <w:pPr>
        <w:pStyle w:val="style0"/>
        <w:ind w:firstLine="709"/>
        <w:jc w:val="both"/>
        <w:rPr>
          <w:color w:val="000000"/>
          <w:sz w:val="28"/>
          <w:szCs w:val="28"/>
        </w:rPr>
      </w:pPr>
      <w:r>
        <w:rPr>
          <w:noProof/>
          <w:color w:val="000000"/>
          <w:sz w:val="28"/>
          <w:szCs w:val="28"/>
        </w:rPr>
        <mc:AlternateContent>
          <mc:Choice Requires="wps">
            <w:drawing>
              <wp:anchor distT="0" distB="0" distL="0" distR="0" simplePos="false" relativeHeight="2" behindDoc="true" locked="false" layoutInCell="true" allowOverlap="true">
                <wp:simplePos x="0" y="0"/>
                <wp:positionH relativeFrom="column">
                  <wp:posOffset>342900</wp:posOffset>
                </wp:positionH>
                <wp:positionV relativeFrom="paragraph">
                  <wp:posOffset>163195</wp:posOffset>
                </wp:positionV>
                <wp:extent cx="179705" cy="179705"/>
                <wp:effectExtent l="0" t="0" r="10795" b="10795"/>
                <wp:wrapNone/>
                <wp:docPr id="1026" name="Прямоугольник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9705" cy="179705"/>
                        </a:xfrm>
                        <a:prstGeom prst="rect"/>
                        <a:solidFill>
                          <a:srgbClr val="ffffff"/>
                        </a:solidFill>
                        <a:ln cmpd="sng" cap="flat" w="9525">
                          <a:solidFill>
                            <a:srgbClr val="000000"/>
                          </a:solidFill>
                          <a:prstDash val="solid"/>
                          <a:miter/>
                          <a:headEnd len="med" type="none" w="med"/>
                          <a:tailEnd len="med" type="none" w="med"/>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26" fillcolor="white" stroked="t" style="position:absolute;margin-left:27.0pt;margin-top:12.85pt;width:14.15pt;height:14.15pt;z-index:-2147483645;mso-position-horizontal-relative:text;mso-position-vertical-relative:text;mso-width-percent:0;mso-height-percent:0;mso-width-relative:page;mso-height-relative:page;mso-wrap-distance-left:0.0pt;mso-wrap-distance-right:0.0pt;visibility:visible;">
                <v:stroke joinstyle="miter"/>
                <v:fill/>
              </v:rect>
            </w:pict>
          </mc:Fallback>
        </mc:AlternateContent>
      </w:r>
      <w:r>
        <w:rPr>
          <w:color w:val="000000"/>
          <w:sz w:val="28"/>
          <w:szCs w:val="28"/>
        </w:rPr>
        <w:t>? – надо посмотреть, не совсем понятно;</w:t>
      </w:r>
    </w:p>
    <w:p>
      <w:pPr>
        <w:pStyle w:val="style0"/>
        <w:ind w:firstLine="709"/>
        <w:jc w:val="both"/>
        <w:rPr>
          <w:color w:val="000000"/>
          <w:sz w:val="28"/>
          <w:szCs w:val="28"/>
        </w:rPr>
      </w:pPr>
      <w:r>
        <w:rPr>
          <w:color w:val="000000"/>
          <w:sz w:val="28"/>
          <w:szCs w:val="28"/>
        </w:rPr>
        <w:t xml:space="preserve">     - основные определения;</w:t>
      </w:r>
    </w:p>
    <w:p>
      <w:pPr>
        <w:pStyle w:val="style0"/>
        <w:ind w:firstLine="709"/>
        <w:jc w:val="both"/>
        <w:rPr>
          <w:color w:val="000000"/>
          <w:sz w:val="28"/>
          <w:szCs w:val="28"/>
        </w:rPr>
      </w:pPr>
      <w:r>
        <w:rPr>
          <w:noProof/>
          <w:color w:val="000000"/>
          <w:sz w:val="28"/>
          <w:szCs w:val="28"/>
        </w:rPr>
        <mc:AlternateContent>
          <mc:Choice Requires="wps">
            <w:drawing>
              <wp:anchor distT="0" distB="0" distL="0" distR="0" simplePos="false" relativeHeight="3" behindDoc="true" locked="false" layoutInCell="true" allowOverlap="true">
                <wp:simplePos x="0" y="0"/>
                <wp:positionH relativeFrom="column">
                  <wp:posOffset>342900</wp:posOffset>
                </wp:positionH>
                <wp:positionV relativeFrom="paragraph">
                  <wp:posOffset>41275</wp:posOffset>
                </wp:positionV>
                <wp:extent cx="179705" cy="179705"/>
                <wp:effectExtent l="19050" t="19050" r="29845" b="10795"/>
                <wp:wrapNone/>
                <wp:docPr id="1027" name="Равнобедренный треугольник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9705" cy="179705"/>
                        </a:xfrm>
                        <a:prstGeom prst="triangle">
                          <a:avLst>
                            <a:gd name="adj" fmla="val 50000"/>
                          </a:avLst>
                        </a:prstGeom>
                        <a:solidFill>
                          <a:srgbClr val="ffffff"/>
                        </a:solidFill>
                        <a:ln cmpd="sng" cap="flat" w="9525">
                          <a:solidFill>
                            <a:srgbClr val="000000"/>
                          </a:solidFill>
                          <a:prstDash val="solid"/>
                          <a:miter/>
                          <a:headEnd len="med" type="none" w="med"/>
                          <a:tailEnd len="med" type="none" w="med"/>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1027" type="#_x0000_t5" adj="10800," fillcolor="white" style="position:absolute;margin-left:27.0pt;margin-top:3.25pt;width:14.15pt;height:14.15pt;z-index:-2147483644;mso-position-horizontal-relative:text;mso-position-vertical-relative:text;mso-width-percent:0;mso-height-percent:0;mso-width-relative:page;mso-height-relative:page;mso-wrap-distance-left:0.0pt;mso-wrap-distance-right:0.0pt;visibility:visible;">
                <v:stroke joinstyle="miter"/>
                <v:fill/>
              </v:shape>
            </w:pict>
          </mc:Fallback>
        </mc:AlternateContent>
      </w:r>
      <w:r>
        <w:rPr>
          <w:color w:val="000000"/>
          <w:sz w:val="28"/>
          <w:szCs w:val="28"/>
        </w:rPr>
        <w:t xml:space="preserve">      - не представляет интереса. </w:t>
      </w:r>
    </w:p>
    <w:p>
      <w:pPr>
        <w:pStyle w:val="style0"/>
        <w:ind w:firstLine="709"/>
        <w:jc w:val="both"/>
        <w:rPr>
          <w:color w:val="000000"/>
          <w:sz w:val="28"/>
          <w:szCs w:val="28"/>
        </w:rPr>
      </w:pPr>
    </w:p>
    <w:p>
      <w:pPr>
        <w:pStyle w:val="style0"/>
        <w:ind w:firstLine="709"/>
        <w:jc w:val="both"/>
        <w:rPr>
          <w:color w:val="000000"/>
          <w:sz w:val="28"/>
          <w:szCs w:val="28"/>
        </w:rPr>
      </w:pPr>
      <w:r>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pPr>
        <w:pStyle w:val="style0"/>
        <w:ind w:firstLine="709"/>
        <w:jc w:val="both"/>
        <w:rPr>
          <w:color w:val="000000"/>
          <w:sz w:val="28"/>
          <w:szCs w:val="28"/>
        </w:rPr>
      </w:pPr>
      <w:r>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Pr>
          <w:color w:val="000000"/>
          <w:spacing w:val="-2"/>
          <w:sz w:val="28"/>
          <w:szCs w:val="28"/>
        </w:rPr>
        <w:t>части курса, что дает возможность легче сравнивать, устанавливать связи, обобщать материа</w:t>
      </w:r>
      <w:r>
        <w:rPr>
          <w:color w:val="000000"/>
          <w:sz w:val="28"/>
          <w:szCs w:val="28"/>
        </w:rPr>
        <w:t xml:space="preserve">л. </w:t>
      </w:r>
    </w:p>
    <w:p>
      <w:pPr>
        <w:pStyle w:val="style0"/>
        <w:ind w:firstLine="709"/>
        <w:jc w:val="both"/>
        <w:rPr>
          <w:color w:val="000000"/>
          <w:sz w:val="28"/>
          <w:szCs w:val="28"/>
        </w:rPr>
      </w:pPr>
      <w:r>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pPr>
        <w:pStyle w:val="style0"/>
        <w:ind w:firstLine="709"/>
        <w:jc w:val="both"/>
        <w:rPr>
          <w:color w:val="000000"/>
          <w:sz w:val="28"/>
          <w:szCs w:val="28"/>
        </w:rPr>
      </w:pPr>
      <w:r>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pPr>
        <w:pStyle w:val="style0"/>
        <w:ind w:firstLine="709"/>
        <w:jc w:val="both"/>
        <w:rPr>
          <w:color w:val="000000"/>
          <w:sz w:val="28"/>
          <w:szCs w:val="28"/>
        </w:rPr>
      </w:pPr>
      <w:r>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pPr>
        <w:pStyle w:val="style0"/>
        <w:ind w:firstLine="709"/>
        <w:jc w:val="both"/>
        <w:rPr>
          <w:color w:val="000000"/>
          <w:sz w:val="28"/>
          <w:szCs w:val="28"/>
        </w:rPr>
      </w:pPr>
      <w:r>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pPr>
        <w:pStyle w:val="style0"/>
        <w:ind w:firstLine="709"/>
        <w:jc w:val="both"/>
        <w:rPr>
          <w:color w:val="000000"/>
          <w:sz w:val="28"/>
          <w:szCs w:val="28"/>
        </w:rPr>
      </w:pPr>
      <w:r>
        <w:rPr>
          <w:color w:val="000000"/>
          <w:sz w:val="28"/>
          <w:szCs w:val="28"/>
        </w:rPr>
        <w:t xml:space="preserve">8. </w:t>
      </w:r>
      <w:r>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Pr>
          <w:color w:val="000000"/>
          <w:sz w:val="28"/>
          <w:szCs w:val="28"/>
        </w:rPr>
        <w:t>».</w:t>
      </w:r>
    </w:p>
    <w:p>
      <w:pPr>
        <w:pStyle w:val="style0"/>
        <w:ind w:firstLine="709"/>
        <w:jc w:val="both"/>
        <w:rPr>
          <w:color w:val="000000"/>
          <w:sz w:val="28"/>
          <w:szCs w:val="28"/>
        </w:rPr>
      </w:pPr>
      <w:r>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pPr>
        <w:pStyle w:val="style0"/>
        <w:ind w:firstLine="709"/>
        <w:jc w:val="both"/>
        <w:rPr>
          <w:color w:val="000000"/>
          <w:sz w:val="28"/>
          <w:szCs w:val="28"/>
        </w:rPr>
      </w:pPr>
      <w:r>
        <w:rPr>
          <w:color w:val="000000"/>
          <w:sz w:val="28"/>
          <w:szCs w:val="28"/>
        </w:rPr>
        <w:t xml:space="preserve">10. Если в ходе лекции предлагается графическое моделирование, то опорную схему </w:t>
      </w:r>
      <w:r>
        <w:rPr>
          <w:color w:val="000000"/>
          <w:spacing w:val="-2"/>
          <w:sz w:val="28"/>
          <w:szCs w:val="28"/>
        </w:rPr>
        <w:t>записывают крупно, свободно, так как скученность и мелкий шрифт затрудняют её понимание</w:t>
      </w:r>
      <w:r>
        <w:rPr>
          <w:color w:val="000000"/>
          <w:sz w:val="28"/>
          <w:szCs w:val="28"/>
        </w:rPr>
        <w:t xml:space="preserve">. </w:t>
      </w:r>
    </w:p>
    <w:p>
      <w:pPr>
        <w:pStyle w:val="style0"/>
        <w:ind w:firstLine="709"/>
        <w:jc w:val="both"/>
        <w:rPr>
          <w:color w:val="000000"/>
          <w:sz w:val="28"/>
          <w:szCs w:val="28"/>
        </w:rPr>
      </w:pPr>
      <w:r>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pPr>
        <w:pStyle w:val="style0"/>
        <w:ind w:firstLine="709"/>
        <w:jc w:val="both"/>
        <w:rPr>
          <w:color w:val="000000"/>
          <w:sz w:val="28"/>
          <w:szCs w:val="28"/>
        </w:rPr>
      </w:pPr>
      <w:r>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pPr>
        <w:pStyle w:val="style0"/>
        <w:ind w:firstLine="709"/>
        <w:jc w:val="both"/>
        <w:rPr>
          <w:color w:val="000000"/>
          <w:sz w:val="28"/>
          <w:szCs w:val="28"/>
        </w:rPr>
      </w:pPr>
      <w:r>
        <w:rPr>
          <w:color w:val="000000"/>
          <w:sz w:val="28"/>
          <w:szCs w:val="28"/>
        </w:rPr>
        <w:t xml:space="preserve">13. У каждого слушателя имеется своя система скорописи, которая основывается на следующих приемах: </w:t>
      </w:r>
      <w:r>
        <w:rPr>
          <w:color w:val="000000"/>
          <w:spacing w:val="-2"/>
          <w:sz w:val="28"/>
          <w:szCs w:val="28"/>
        </w:rPr>
        <w:t>слова, наиболее часто встречающиеся в данной области, сокращаются наиболее сильно</w:t>
      </w:r>
      <w:r>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pPr>
        <w:pStyle w:val="style0"/>
        <w:ind w:firstLine="709"/>
        <w:jc w:val="both"/>
        <w:rPr>
          <w:color w:val="000000"/>
          <w:sz w:val="28"/>
          <w:szCs w:val="28"/>
        </w:rPr>
      </w:pPr>
      <w:r>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pPr>
        <w:pStyle w:val="style0"/>
        <w:ind w:firstLine="709"/>
        <w:jc w:val="both"/>
        <w:rPr>
          <w:color w:val="000000"/>
          <w:sz w:val="28"/>
          <w:szCs w:val="28"/>
        </w:rPr>
      </w:pPr>
      <w:r>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Pr>
          <w:color w:val="000000"/>
          <w:spacing w:val="-2"/>
          <w:sz w:val="28"/>
          <w:szCs w:val="28"/>
        </w:rPr>
        <w:t>красным, формулировки – синим или черным, зеленым – фактический иллюстративный материал</w:t>
      </w:r>
      <w:r>
        <w:rPr>
          <w:color w:val="000000"/>
          <w:sz w:val="28"/>
          <w:szCs w:val="28"/>
        </w:rPr>
        <w:t xml:space="preserve">. </w:t>
      </w:r>
    </w:p>
    <w:p>
      <w:pPr>
        <w:pStyle w:val="style0"/>
        <w:ind w:firstLine="709"/>
        <w:jc w:val="both"/>
        <w:rPr>
          <w:color w:val="000000"/>
          <w:sz w:val="28"/>
          <w:szCs w:val="28"/>
        </w:rPr>
      </w:pPr>
      <w:r>
        <w:rPr>
          <w:color w:val="000000"/>
          <w:sz w:val="28"/>
          <w:szCs w:val="28"/>
        </w:rPr>
        <w:t xml:space="preserve">15. </w:t>
      </w:r>
      <w:r>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Pr>
          <w:color w:val="000000"/>
          <w:sz w:val="28"/>
          <w:szCs w:val="28"/>
        </w:rPr>
        <w:t xml:space="preserve">. </w:t>
      </w:r>
    </w:p>
    <w:p>
      <w:pPr>
        <w:pStyle w:val="style0"/>
        <w:ind w:firstLine="709"/>
        <w:jc w:val="both"/>
        <w:rPr>
          <w:color w:val="000000"/>
          <w:sz w:val="28"/>
          <w:szCs w:val="28"/>
        </w:rPr>
      </w:pPr>
      <w:r>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pPr>
        <w:pStyle w:val="style0"/>
        <w:ind w:firstLine="709"/>
        <w:jc w:val="center"/>
        <w:rPr>
          <w:b/>
          <w:sz w:val="28"/>
        </w:rPr>
      </w:pPr>
    </w:p>
    <w:p>
      <w:pPr>
        <w:pStyle w:val="style0"/>
        <w:ind w:firstLine="709"/>
        <w:jc w:val="center"/>
        <w:rPr/>
      </w:pPr>
      <w:r>
        <w:rPr>
          <w:b/>
          <w:sz w:val="28"/>
        </w:rPr>
        <w:t>Тестирование</w:t>
      </w:r>
      <w:r>
        <w:rPr>
          <w:sz w:val="28"/>
        </w:rPr>
        <w:t>.</w:t>
      </w:r>
    </w:p>
    <w:p>
      <w:pPr>
        <w:pStyle w:val="style0"/>
        <w:ind w:firstLine="709"/>
        <w:jc w:val="both"/>
        <w:rPr/>
      </w:pPr>
      <w:r>
        <w:rPr>
          <w:sz w:val="28"/>
        </w:rPr>
        <w:t xml:space="preserve">Тесты составлены с учетом национальных клинических рекомендаций по каждой теме дисциплины. Цель тестов: проверка усвоения теоретического материала дисциплины (содержания и объема общих и специальных понятий, терминологии, факторов и механизмов), а также развития учебных умений и навыков. </w:t>
      </w:r>
    </w:p>
    <w:p>
      <w:pPr>
        <w:pStyle w:val="style0"/>
        <w:ind w:firstLine="709"/>
        <w:jc w:val="both"/>
        <w:rPr/>
      </w:pPr>
      <w:r>
        <w:rPr>
          <w:sz w:val="28"/>
        </w:rPr>
        <w:t>Тесты составлены из следующих форм тестовых заданий:</w:t>
      </w:r>
    </w:p>
    <w:p>
      <w:pPr>
        <w:pStyle w:val="style0"/>
        <w:ind w:firstLine="709"/>
        <w:jc w:val="both"/>
        <w:rPr/>
      </w:pPr>
      <w:r>
        <w:rPr>
          <w:sz w:val="28"/>
        </w:rPr>
        <w:t>1. Закрытые задания с выбором одного правильного ответа (один вопрос и четыре варианта ответов, из которых необходимо выбрать один). Цель – проверка знаний фактического материала.</w:t>
      </w:r>
    </w:p>
    <w:p>
      <w:pPr>
        <w:pStyle w:val="style0"/>
        <w:ind w:firstLine="709"/>
        <w:jc w:val="both"/>
        <w:rPr/>
      </w:pPr>
      <w:r>
        <w:rPr>
          <w:sz w:val="28"/>
        </w:rPr>
        <w:t>2. Закрытые задания с выбором всех правильных ответов (предлагается несколько вариантов ответа, в числе которых может быть несколько правильных). Ординатор должен выбрать все правильные ответы.</w:t>
      </w:r>
    </w:p>
    <w:p>
      <w:pPr>
        <w:pStyle w:val="style0"/>
        <w:ind w:firstLine="709"/>
        <w:jc w:val="both"/>
        <w:rPr>
          <w:sz w:val="28"/>
        </w:rPr>
      </w:pPr>
      <w:r>
        <w:rPr>
          <w:sz w:val="28"/>
        </w:rPr>
        <w:t>Тестирование осуществляется на бумажном носителе по тестовым заданиям, указанным в Фонде оценочных средств для проведения текущего контроля успеваемости и промежуточной аттестации обучающихся. Тестовое задание содержит 20 вопросов, критерием успешной сдачи теста является количество правильных ответов не менее 13 (65%). На выполнение всего теста дается строго определенное время: на решение индивидуального теста, состоящего из 20 заданий отводится не более 20 мин.</w:t>
      </w:r>
      <w:r>
        <w:t xml:space="preserve"> </w:t>
      </w:r>
      <w:r>
        <w:rPr>
          <w:sz w:val="28"/>
        </w:rPr>
        <w:t>После проверки теста оглашается результат тестирования. Если тест не зачтен, то обучающийся должен заново повторить тему дисциплины. После этого преподаватель проверяет понимание и усвоение материала, предлагая ординатору найти ошибки в ответах. Если все ошибки будут найдены и исправлены, то выставляется оценка «зачтено».</w:t>
      </w:r>
    </w:p>
    <w:p>
      <w:pPr>
        <w:pStyle w:val="style0"/>
        <w:jc w:val="both"/>
        <w:rPr>
          <w:b/>
          <w:sz w:val="28"/>
          <w:szCs w:val="28"/>
        </w:rPr>
      </w:pPr>
    </w:p>
    <w:p>
      <w:pPr>
        <w:pStyle w:val="style0"/>
        <w:jc w:val="center"/>
        <w:rPr>
          <w:b/>
          <w:sz w:val="28"/>
          <w:szCs w:val="28"/>
        </w:rPr>
      </w:pPr>
      <w:r>
        <w:rPr>
          <w:b/>
          <w:sz w:val="28"/>
          <w:szCs w:val="28"/>
        </w:rPr>
        <w:t>Методические указания обучающимся по подготовке</w:t>
      </w:r>
    </w:p>
    <w:p>
      <w:pPr>
        <w:pStyle w:val="style0"/>
        <w:jc w:val="center"/>
        <w:rPr>
          <w:b/>
          <w:sz w:val="28"/>
          <w:szCs w:val="28"/>
        </w:rPr>
      </w:pPr>
      <w:r>
        <w:rPr>
          <w:b/>
          <w:sz w:val="28"/>
          <w:szCs w:val="28"/>
        </w:rPr>
        <w:t>к практическим занятиям</w:t>
      </w:r>
    </w:p>
    <w:p>
      <w:pPr>
        <w:pStyle w:val="style0"/>
        <w:ind w:firstLine="709"/>
        <w:jc w:val="both"/>
        <w:rPr>
          <w:sz w:val="8"/>
          <w:szCs w:val="28"/>
        </w:rPr>
      </w:pPr>
    </w:p>
    <w:p>
      <w:pPr>
        <w:pStyle w:val="style0"/>
        <w:ind w:firstLine="709"/>
        <w:jc w:val="both"/>
        <w:rPr>
          <w:sz w:val="28"/>
        </w:rPr>
      </w:pPr>
      <w:r>
        <w:rPr>
          <w:sz w:val="28"/>
        </w:rPr>
        <w:t xml:space="preserve">Практическое занятие </w:t>
      </w:r>
      <w:r>
        <w:rPr>
          <w:i/>
          <w:sz w:val="28"/>
        </w:rPr>
        <w:t>–</w:t>
      </w:r>
      <w:r>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pPr>
        <w:pStyle w:val="style0"/>
        <w:ind w:firstLine="709"/>
        <w:jc w:val="both"/>
        <w:rPr>
          <w:sz w:val="28"/>
        </w:rPr>
      </w:pPr>
      <w:r>
        <w:rPr>
          <w:i/>
          <w:sz w:val="28"/>
        </w:rPr>
        <w:t>При разработке устного ответа на практическом занятии можно использоватьклассическую схему ораторского искусства. В основе этой схемы лежит 5 этапов</w:t>
      </w:r>
      <w:r>
        <w:rPr>
          <w:sz w:val="28"/>
        </w:rPr>
        <w:t xml:space="preserve">: </w:t>
      </w:r>
    </w:p>
    <w:p>
      <w:pPr>
        <w:pStyle w:val="style0"/>
        <w:ind w:firstLine="709"/>
        <w:jc w:val="both"/>
        <w:rPr>
          <w:sz w:val="28"/>
        </w:rPr>
      </w:pPr>
      <w:r>
        <w:rPr>
          <w:sz w:val="28"/>
        </w:rPr>
        <w:t>1. Подбор необходимого материала содержания предстоящего выступления.</w:t>
      </w:r>
    </w:p>
    <w:p>
      <w:pPr>
        <w:pStyle w:val="style0"/>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pPr>
        <w:pStyle w:val="style0"/>
        <w:ind w:firstLine="709"/>
        <w:jc w:val="both"/>
        <w:rPr>
          <w:sz w:val="28"/>
        </w:rPr>
      </w:pPr>
      <w:r>
        <w:rPr>
          <w:sz w:val="28"/>
        </w:rPr>
        <w:t>3. «</w:t>
      </w:r>
      <w:r>
        <w:rPr>
          <w:spacing w:val="-4"/>
          <w:sz w:val="28"/>
        </w:rPr>
        <w:t>Словесное выражение», литературная обработка речи, насыщение её содержания</w:t>
      </w:r>
      <w:r>
        <w:rPr>
          <w:sz w:val="28"/>
        </w:rPr>
        <w:t>.</w:t>
      </w:r>
    </w:p>
    <w:p>
      <w:pPr>
        <w:pStyle w:val="style0"/>
        <w:ind w:firstLine="709"/>
        <w:jc w:val="both"/>
        <w:rPr>
          <w:sz w:val="28"/>
        </w:rPr>
      </w:pPr>
      <w:r>
        <w:rPr>
          <w:sz w:val="28"/>
        </w:rPr>
        <w:t>4. Заучивание, запоминание текста речи или её отдельных аспектов (при необходимости).</w:t>
      </w:r>
    </w:p>
    <w:p>
      <w:pPr>
        <w:pStyle w:val="style0"/>
        <w:ind w:firstLine="709"/>
        <w:jc w:val="both"/>
        <w:rPr>
          <w:sz w:val="28"/>
        </w:rPr>
      </w:pPr>
      <w:r>
        <w:rPr>
          <w:sz w:val="28"/>
        </w:rPr>
        <w:t>5. Произнесение речи с соответствующей интонацией, мимикой, жестами.</w:t>
      </w:r>
    </w:p>
    <w:p>
      <w:pPr>
        <w:pStyle w:val="style0"/>
        <w:ind w:firstLine="709"/>
        <w:jc w:val="center"/>
        <w:rPr>
          <w:sz w:val="28"/>
        </w:rPr>
      </w:pPr>
      <w:r>
        <w:rPr>
          <w:i/>
          <w:sz w:val="28"/>
        </w:rPr>
        <w:t>Рекомендации по построению композиции устного ответа:</w:t>
      </w:r>
    </w:p>
    <w:p>
      <w:pPr>
        <w:pStyle w:val="style0"/>
        <w:ind w:firstLine="709"/>
        <w:jc w:val="both"/>
        <w:rPr>
          <w:sz w:val="28"/>
        </w:rPr>
      </w:pPr>
      <w:r>
        <w:rPr>
          <w:sz w:val="28"/>
        </w:rPr>
        <w:t xml:space="preserve">1. Во введение следует: </w:t>
      </w:r>
    </w:p>
    <w:p>
      <w:pPr>
        <w:pStyle w:val="style0"/>
        <w:ind w:firstLine="709"/>
        <w:jc w:val="both"/>
        <w:rPr>
          <w:sz w:val="28"/>
        </w:rPr>
      </w:pPr>
      <w:r>
        <w:rPr>
          <w:sz w:val="28"/>
        </w:rPr>
        <w:t>- привлечь внимание, вызвать интерес слушателей к проблеме, предмету ответа;</w:t>
      </w:r>
    </w:p>
    <w:p>
      <w:pPr>
        <w:pStyle w:val="style0"/>
        <w:ind w:firstLine="709"/>
        <w:jc w:val="both"/>
        <w:rPr>
          <w:sz w:val="28"/>
        </w:rPr>
      </w:pPr>
      <w:r>
        <w:rPr>
          <w:sz w:val="28"/>
        </w:rPr>
        <w:t>- объяснить, почему ваши суждения о предмете (проблеме) являются авторитетными, значимыми;</w:t>
      </w:r>
    </w:p>
    <w:p>
      <w:pPr>
        <w:pStyle w:val="style0"/>
        <w:ind w:firstLine="709"/>
        <w:jc w:val="both"/>
        <w:rPr>
          <w:sz w:val="28"/>
        </w:rPr>
      </w:pPr>
      <w:r>
        <w:rPr>
          <w:sz w:val="28"/>
        </w:rPr>
        <w:t>- установить контакт со слушателями путем указания на общие взгляды, прежний опыт.</w:t>
      </w:r>
    </w:p>
    <w:p>
      <w:pPr>
        <w:pStyle w:val="style0"/>
        <w:ind w:firstLine="709"/>
        <w:jc w:val="both"/>
        <w:rPr>
          <w:sz w:val="28"/>
        </w:rPr>
      </w:pPr>
      <w:r>
        <w:rPr>
          <w:sz w:val="28"/>
        </w:rPr>
        <w:t>2. В предуведомлении следует:</w:t>
      </w:r>
    </w:p>
    <w:p>
      <w:pPr>
        <w:pStyle w:val="style0"/>
        <w:ind w:firstLine="709"/>
        <w:jc w:val="both"/>
        <w:rPr>
          <w:sz w:val="28"/>
        </w:rPr>
      </w:pPr>
      <w:r>
        <w:rPr>
          <w:sz w:val="28"/>
        </w:rPr>
        <w:t>- раскрыть историю возникновения проблемы (предмета) выступления;</w:t>
      </w:r>
    </w:p>
    <w:p>
      <w:pPr>
        <w:pStyle w:val="style0"/>
        <w:ind w:firstLine="709"/>
        <w:jc w:val="both"/>
        <w:rPr>
          <w:sz w:val="28"/>
        </w:rPr>
      </w:pPr>
      <w:r>
        <w:rPr>
          <w:sz w:val="28"/>
        </w:rPr>
        <w:t>- показать её социальную, научную или практическую значимость;</w:t>
      </w:r>
    </w:p>
    <w:p>
      <w:pPr>
        <w:pStyle w:val="style0"/>
        <w:ind w:firstLine="709"/>
        <w:jc w:val="both"/>
        <w:rPr>
          <w:sz w:val="28"/>
        </w:rPr>
      </w:pPr>
      <w:r>
        <w:rPr>
          <w:sz w:val="28"/>
        </w:rPr>
        <w:t>- раскрыть известные ранее попытки её решения.</w:t>
      </w:r>
    </w:p>
    <w:p>
      <w:pPr>
        <w:pStyle w:val="style0"/>
        <w:ind w:firstLine="709"/>
        <w:jc w:val="both"/>
        <w:rPr>
          <w:sz w:val="28"/>
        </w:rPr>
      </w:pPr>
      <w:r>
        <w:rPr>
          <w:sz w:val="28"/>
        </w:rPr>
        <w:t xml:space="preserve">3. В процессе аргументации необходимо: </w:t>
      </w:r>
    </w:p>
    <w:p>
      <w:pPr>
        <w:pStyle w:val="style0"/>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pPr>
        <w:pStyle w:val="style0"/>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pPr>
        <w:pStyle w:val="style0"/>
        <w:ind w:firstLine="709"/>
        <w:jc w:val="both"/>
        <w:rPr>
          <w:sz w:val="28"/>
        </w:rPr>
      </w:pPr>
      <w:r>
        <w:rPr>
          <w:sz w:val="28"/>
        </w:rPr>
        <w:t>- сформулировать заключение в общем виде;</w:t>
      </w:r>
    </w:p>
    <w:p>
      <w:pPr>
        <w:pStyle w:val="style0"/>
        <w:ind w:firstLine="709"/>
        <w:jc w:val="both"/>
        <w:rPr>
          <w:sz w:val="28"/>
        </w:rPr>
      </w:pPr>
      <w:r>
        <w:rPr>
          <w:sz w:val="28"/>
        </w:rPr>
        <w:t xml:space="preserve">- </w:t>
      </w:r>
      <w:r>
        <w:rPr>
          <w:spacing w:val="-4"/>
          <w:sz w:val="28"/>
        </w:rPr>
        <w:t>указать на недостатки альтернативных позиций и на преимущества вашей позиции</w:t>
      </w:r>
      <w:r>
        <w:rPr>
          <w:sz w:val="28"/>
        </w:rPr>
        <w:t xml:space="preserve">. </w:t>
      </w:r>
    </w:p>
    <w:p>
      <w:pPr>
        <w:pStyle w:val="style0"/>
        <w:ind w:firstLine="709"/>
        <w:jc w:val="both"/>
        <w:rPr>
          <w:sz w:val="28"/>
        </w:rPr>
      </w:pPr>
      <w:r>
        <w:rPr>
          <w:sz w:val="28"/>
        </w:rPr>
        <w:t>4. В заключении целесообразно:</w:t>
      </w:r>
    </w:p>
    <w:p>
      <w:pPr>
        <w:pStyle w:val="style0"/>
        <w:ind w:firstLine="709"/>
        <w:jc w:val="both"/>
        <w:rPr>
          <w:sz w:val="28"/>
        </w:rPr>
      </w:pPr>
      <w:r>
        <w:rPr>
          <w:sz w:val="28"/>
        </w:rPr>
        <w:t>- обобщить вашу позицию по обсуждаемой проблеме, ваш окончательный вывод и решение;</w:t>
      </w:r>
    </w:p>
    <w:p>
      <w:pPr>
        <w:pStyle w:val="style0"/>
        <w:ind w:firstLine="709"/>
        <w:jc w:val="both"/>
        <w:rPr>
          <w:sz w:val="28"/>
        </w:rPr>
      </w:pPr>
      <w:r>
        <w:rPr>
          <w:sz w:val="28"/>
        </w:rPr>
        <w:t xml:space="preserve">- обосновать, каковы последствия в случае отказа от вашего подхода к решению проблемы. </w:t>
      </w:r>
    </w:p>
    <w:p>
      <w:pPr>
        <w:pStyle w:val="style0"/>
        <w:ind w:firstLine="709"/>
        <w:jc w:val="center"/>
        <w:rPr>
          <w:i/>
          <w:color w:val="000000"/>
          <w:sz w:val="28"/>
        </w:rPr>
      </w:pPr>
      <w:r>
        <w:rPr>
          <w:i/>
          <w:color w:val="000000"/>
          <w:sz w:val="28"/>
        </w:rPr>
        <w:t>Рекомендации по составлению развернутого плана-ответа</w:t>
      </w:r>
    </w:p>
    <w:p>
      <w:pPr>
        <w:pStyle w:val="style0"/>
        <w:ind w:firstLine="709"/>
        <w:jc w:val="center"/>
        <w:rPr>
          <w:i/>
          <w:color w:val="000000"/>
          <w:sz w:val="28"/>
        </w:rPr>
      </w:pPr>
      <w:r>
        <w:rPr>
          <w:i/>
          <w:color w:val="000000"/>
          <w:sz w:val="28"/>
        </w:rPr>
        <w:t>к теоретическим вопросам практического занятия</w:t>
      </w:r>
    </w:p>
    <w:p>
      <w:pPr>
        <w:pStyle w:val="style66"/>
        <w:tabs>
          <w:tab w:val="left" w:leader="none" w:pos="554"/>
        </w:tabs>
        <w:spacing w:after="0" w:lineRule="auto" w:line="276"/>
        <w:ind w:firstLine="709"/>
        <w:jc w:val="both"/>
        <w:rPr>
          <w:sz w:val="28"/>
          <w:szCs w:val="22"/>
        </w:rPr>
      </w:pPr>
      <w:r>
        <w:rPr>
          <w:sz w:val="28"/>
          <w:szCs w:val="22"/>
        </w:rPr>
        <w:t>1. Читая изучаемый материал в первый раз, подразделяйте его на основные смысловые части, выделяйте главные мысли, выводы.</w:t>
      </w:r>
    </w:p>
    <w:p>
      <w:pPr>
        <w:pStyle w:val="style66"/>
        <w:tabs>
          <w:tab w:val="left" w:leader="none" w:pos="544"/>
        </w:tabs>
        <w:spacing w:after="0" w:lineRule="auto" w:line="276"/>
        <w:ind w:firstLine="709"/>
        <w:jc w:val="both"/>
        <w:rPr>
          <w:sz w:val="28"/>
          <w:szCs w:val="22"/>
        </w:rPr>
      </w:pPr>
      <w:r>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pPr>
        <w:pStyle w:val="style66"/>
        <w:tabs>
          <w:tab w:val="left" w:leader="none" w:pos="549"/>
        </w:tabs>
        <w:spacing w:after="0" w:lineRule="auto" w:line="276"/>
        <w:ind w:firstLine="709"/>
        <w:jc w:val="both"/>
        <w:rPr>
          <w:sz w:val="28"/>
          <w:szCs w:val="22"/>
        </w:rPr>
      </w:pPr>
      <w:r>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pPr>
        <w:pStyle w:val="style66"/>
        <w:tabs>
          <w:tab w:val="left" w:leader="none" w:pos="558"/>
        </w:tabs>
        <w:spacing w:after="0" w:lineRule="auto" w:line="276"/>
        <w:ind w:firstLine="709"/>
        <w:jc w:val="both"/>
        <w:rPr>
          <w:sz w:val="28"/>
          <w:szCs w:val="22"/>
        </w:rPr>
      </w:pPr>
      <w:r>
        <w:rPr>
          <w:sz w:val="28"/>
          <w:szCs w:val="22"/>
        </w:rPr>
        <w:t>4. В конспект включайте как основные положения, так и конкретные факты, и примеры, но без их подробного описания.</w:t>
      </w:r>
    </w:p>
    <w:p>
      <w:pPr>
        <w:pStyle w:val="style66"/>
        <w:tabs>
          <w:tab w:val="left" w:leader="none" w:pos="544"/>
        </w:tabs>
        <w:spacing w:after="0" w:lineRule="auto" w:line="276"/>
        <w:ind w:firstLine="709"/>
        <w:jc w:val="both"/>
        <w:rPr>
          <w:sz w:val="28"/>
          <w:szCs w:val="22"/>
        </w:rPr>
      </w:pPr>
      <w:r>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pPr>
        <w:pStyle w:val="style0"/>
        <w:ind w:firstLine="708"/>
        <w:jc w:val="both"/>
        <w:rPr>
          <w:sz w:val="28"/>
          <w:szCs w:val="22"/>
        </w:rPr>
      </w:pPr>
      <w:r>
        <w:rPr>
          <w:sz w:val="28"/>
          <w:szCs w:val="22"/>
        </w:rPr>
        <w:t>6. Располагайте абзацы ступеньками, применяйте цветные карандаши, маркеры, фломастеры для выделения значимых мест</w:t>
      </w:r>
    </w:p>
    <w:p>
      <w:pPr>
        <w:pStyle w:val="style0"/>
        <w:ind w:firstLine="709"/>
        <w:jc w:val="center"/>
        <w:rPr>
          <w:b/>
          <w:bCs/>
          <w:sz w:val="28"/>
          <w:szCs w:val="28"/>
        </w:rPr>
      </w:pPr>
    </w:p>
    <w:p>
      <w:pPr>
        <w:pStyle w:val="style0"/>
        <w:ind w:firstLine="709"/>
        <w:jc w:val="center"/>
        <w:rPr>
          <w:b/>
          <w:bCs/>
          <w:sz w:val="28"/>
          <w:szCs w:val="28"/>
        </w:rPr>
      </w:pPr>
      <w:r>
        <w:rPr>
          <w:b/>
          <w:bCs/>
          <w:sz w:val="28"/>
          <w:szCs w:val="28"/>
        </w:rPr>
        <w:t>Методические указания по подготовке и оформлению реферата</w:t>
      </w:r>
    </w:p>
    <w:p>
      <w:pPr>
        <w:pStyle w:val="style0"/>
        <w:ind w:firstLine="709"/>
        <w:jc w:val="both"/>
        <w:rPr>
          <w:sz w:val="28"/>
          <w:szCs w:val="28"/>
        </w:rPr>
      </w:pPr>
      <w:r>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pPr>
        <w:pStyle w:val="style67"/>
        <w:spacing w:after="0" w:lineRule="auto" w:line="276"/>
        <w:ind w:left="0" w:firstLine="709"/>
        <w:jc w:val="both"/>
        <w:rPr>
          <w:sz w:val="28"/>
          <w:szCs w:val="28"/>
        </w:rPr>
      </w:pPr>
      <w:r>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pPr>
        <w:pStyle w:val="style0"/>
        <w:ind w:firstLine="709"/>
        <w:jc w:val="both"/>
        <w:rPr>
          <w:sz w:val="28"/>
          <w:szCs w:val="28"/>
        </w:rPr>
      </w:pPr>
      <w:r>
        <w:rPr>
          <w:sz w:val="28"/>
          <w:szCs w:val="28"/>
        </w:rPr>
        <w:t>2. В оглавлении последовательно излагаются названия пунктов реферата, указываются страницы, с которых начинается каждый пункт.</w:t>
      </w:r>
    </w:p>
    <w:p>
      <w:pPr>
        <w:pStyle w:val="style0"/>
        <w:ind w:firstLine="709"/>
        <w:jc w:val="both"/>
        <w:rPr>
          <w:sz w:val="28"/>
          <w:szCs w:val="28"/>
        </w:rPr>
      </w:pPr>
      <w:r>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pPr>
        <w:pStyle w:val="style0"/>
        <w:ind w:firstLine="709"/>
        <w:jc w:val="both"/>
        <w:rPr>
          <w:sz w:val="28"/>
          <w:szCs w:val="28"/>
        </w:rPr>
      </w:pPr>
      <w:r>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pPr>
        <w:pStyle w:val="style0"/>
        <w:ind w:firstLine="709"/>
        <w:jc w:val="both"/>
        <w:rPr>
          <w:sz w:val="28"/>
          <w:szCs w:val="28"/>
        </w:rPr>
      </w:pPr>
      <w:r>
        <w:rPr>
          <w:sz w:val="28"/>
          <w:szCs w:val="28"/>
        </w:rPr>
        <w:t>5. Заключение: подводятся итоги или дается обобщенный вывод по теме реферата, предлагаются рекомендации.</w:t>
      </w:r>
    </w:p>
    <w:p>
      <w:pPr>
        <w:pStyle w:val="style0"/>
        <w:ind w:firstLine="709"/>
        <w:jc w:val="both"/>
        <w:rPr>
          <w:sz w:val="28"/>
          <w:szCs w:val="28"/>
        </w:rPr>
      </w:pPr>
      <w:r>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pPr>
        <w:pStyle w:val="style0"/>
        <w:tabs>
          <w:tab w:val="left" w:leader="none" w:pos="360"/>
        </w:tabs>
        <w:ind w:firstLine="709"/>
        <w:jc w:val="both"/>
        <w:rPr>
          <w:sz w:val="28"/>
          <w:szCs w:val="28"/>
        </w:rPr>
      </w:pPr>
      <w:r>
        <w:rPr>
          <w:sz w:val="28"/>
          <w:szCs w:val="28"/>
        </w:rPr>
        <w:t>- актуальность рассматриваемой проблемы;</w:t>
      </w:r>
    </w:p>
    <w:p>
      <w:pPr>
        <w:pStyle w:val="style0"/>
        <w:tabs>
          <w:tab w:val="left" w:leader="none" w:pos="360"/>
        </w:tabs>
        <w:ind w:firstLine="709"/>
        <w:jc w:val="both"/>
        <w:rPr>
          <w:sz w:val="28"/>
          <w:szCs w:val="28"/>
        </w:rPr>
      </w:pPr>
      <w:r>
        <w:rPr>
          <w:sz w:val="28"/>
          <w:szCs w:val="28"/>
        </w:rPr>
        <w:t>- обоснованность излагаемых проблем, вопросов, предложений;</w:t>
      </w:r>
    </w:p>
    <w:p>
      <w:pPr>
        <w:pStyle w:val="style0"/>
        <w:tabs>
          <w:tab w:val="left" w:leader="none" w:pos="360"/>
        </w:tabs>
        <w:ind w:firstLine="709"/>
        <w:jc w:val="both"/>
        <w:rPr>
          <w:sz w:val="28"/>
          <w:szCs w:val="28"/>
        </w:rPr>
      </w:pPr>
      <w:r>
        <w:rPr>
          <w:sz w:val="28"/>
          <w:szCs w:val="28"/>
        </w:rPr>
        <w:t>- логичность, последовательность и краткость изложения;</w:t>
      </w:r>
    </w:p>
    <w:p>
      <w:pPr>
        <w:pStyle w:val="style0"/>
        <w:tabs>
          <w:tab w:val="left" w:leader="none" w:pos="360"/>
        </w:tabs>
        <w:ind w:firstLine="709"/>
        <w:jc w:val="both"/>
        <w:rPr>
          <w:sz w:val="28"/>
          <w:szCs w:val="28"/>
        </w:rPr>
      </w:pPr>
      <w:r>
        <w:rPr>
          <w:sz w:val="28"/>
          <w:szCs w:val="28"/>
        </w:rPr>
        <w:t>- отражение мнения по проблеме реферирующего.</w:t>
      </w:r>
    </w:p>
    <w:p>
      <w:pPr>
        <w:pStyle w:val="style0"/>
        <w:ind w:firstLine="709"/>
        <w:jc w:val="both"/>
        <w:rPr>
          <w:sz w:val="28"/>
          <w:szCs w:val="28"/>
        </w:rPr>
      </w:pPr>
      <w:r>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pPr>
        <w:pStyle w:val="style0"/>
        <w:rPr>
          <w:b/>
          <w:sz w:val="28"/>
          <w:szCs w:val="28"/>
        </w:rPr>
      </w:pPr>
    </w:p>
    <w:p>
      <w:pPr>
        <w:pStyle w:val="style0"/>
        <w:ind w:firstLine="709"/>
        <w:jc w:val="both"/>
        <w:rPr>
          <w:sz w:val="28"/>
        </w:rPr>
      </w:pPr>
    </w:p>
    <w:p>
      <w:pPr>
        <w:pStyle w:val="style0"/>
        <w:ind w:firstLine="709"/>
        <w:jc w:val="both"/>
        <w:rPr>
          <w:b/>
          <w:sz w:val="28"/>
        </w:rPr>
      </w:pPr>
      <w:r>
        <w:rPr>
          <w:b/>
          <w:sz w:val="28"/>
        </w:rPr>
        <w:t>4. Критерии оценивания результатов выполнения заданий по самостоятельной работе обучающихся.</w:t>
      </w:r>
    </w:p>
    <w:p>
      <w:pPr>
        <w:pStyle w:val="style0"/>
        <w:ind w:firstLine="709"/>
        <w:jc w:val="both"/>
        <w:rPr>
          <w:sz w:val="28"/>
        </w:rPr>
      </w:pPr>
      <w:r>
        <w:rPr>
          <w:sz w:val="28"/>
        </w:rPr>
        <w:t xml:space="preserve">Критерии оценивания выполненных заданий представлены </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pPr>
        <w:pStyle w:val="style0"/>
        <w:ind w:firstLine="709"/>
        <w:jc w:val="both"/>
        <w:rPr>
          <w:sz w:val="28"/>
        </w:rPr>
      </w:pPr>
    </w:p>
    <w:p>
      <w:pPr>
        <w:pStyle w:val="style0"/>
        <w:ind w:firstLine="709"/>
        <w:jc w:val="both"/>
        <w:rPr>
          <w:sz w:val="28"/>
        </w:rPr>
      </w:pPr>
    </w:p>
    <w:p>
      <w:pPr>
        <w:pStyle w:val="style0"/>
        <w:ind w:firstLine="709"/>
        <w:jc w:val="both"/>
        <w:rPr>
          <w:sz w:val="28"/>
        </w:rPr>
      </w:pPr>
    </w:p>
    <w:p>
      <w:pPr>
        <w:pStyle w:val="style0"/>
        <w:ind w:firstLine="709"/>
        <w:jc w:val="both"/>
        <w:rPr>
          <w:sz w:val="28"/>
        </w:rPr>
      </w:pPr>
    </w:p>
    <w:p>
      <w:pPr>
        <w:pStyle w:val="style0"/>
        <w:ind w:firstLine="709"/>
        <w:jc w:val="both"/>
        <w:rPr>
          <w:sz w:val="28"/>
        </w:rPr>
      </w:pPr>
    </w:p>
    <w:p>
      <w:pPr>
        <w:pStyle w:val="style0"/>
        <w:ind w:firstLine="709"/>
        <w:jc w:val="both"/>
        <w:rPr>
          <w:sz w:val="28"/>
        </w:rPr>
      </w:pPr>
    </w:p>
    <w:p>
      <w:pPr>
        <w:pStyle w:val="style0"/>
        <w:ind w:firstLine="709"/>
        <w:jc w:val="both"/>
        <w:rPr>
          <w:sz w:val="28"/>
        </w:rPr>
      </w:pPr>
    </w:p>
    <w:p>
      <w:pPr>
        <w:pStyle w:val="style0"/>
        <w:ind w:firstLine="709"/>
        <w:jc w:val="both"/>
        <w:rPr>
          <w:sz w:val="28"/>
        </w:rPr>
      </w:pPr>
    </w:p>
    <w:p>
      <w:pPr>
        <w:pStyle w:val="style0"/>
        <w:ind w:firstLine="709"/>
        <w:jc w:val="both"/>
        <w:rPr>
          <w:sz w:val="28"/>
        </w:rPr>
      </w:pPr>
    </w:p>
    <w:p>
      <w:pPr>
        <w:pStyle w:val="style0"/>
        <w:ind w:firstLine="709"/>
        <w:jc w:val="both"/>
        <w:rPr>
          <w:sz w:val="28"/>
        </w:rPr>
      </w:pPr>
    </w:p>
    <w:sectPr>
      <w:footerReference w:type="default" r:id="rId2"/>
      <w:pgSz w:w="11906" w:h="16838" w:orient="portrait"/>
      <w:pgMar w:top="567"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cc"/>
    <w:family w:val="roman"/>
    <w:pitch w:val="variable"/>
    <w:sig w:usb0="E0002AFF" w:usb1="C0007841" w:usb2="00000009" w:usb3="00000000" w:csb0="000001FF" w:csb1="00000000"/>
  </w:font>
  <w:font w:name="Courier New">
    <w:altName w:val="Courier New"/>
    <w:panose1 w:val="02070309020000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000030204"/>
    <w:charset w:val="cc"/>
    <w:family w:val="roman"/>
    <w:pitch w:val="variable"/>
    <w:sig w:usb0="E00002FF" w:usb1="400004FF" w:usb2="00000000" w:usb3="00000000" w:csb0="0000019F" w:csb1="00000000"/>
  </w:font>
  <w:font w:name="Arial">
    <w:altName w:val="Arial"/>
    <w:panose1 w:val="020b0604020000020204"/>
    <w:charset w:val="cc"/>
    <w:family w:val="swiss"/>
    <w:pitch w:val="variable"/>
    <w:sig w:usb0="E0002AFF" w:usb1="C0007843" w:usb2="00000009" w:usb3="00000000" w:csb0="000001FF" w:csb1="00000000"/>
  </w:font>
  <w:font w:name="Calibri">
    <w:altName w:val="Calibri"/>
    <w:panose1 w:val="020f0502020000030204"/>
    <w:charset w:val="cc"/>
    <w:family w:val="swiss"/>
    <w:pitch w:val="variable"/>
    <w:sig w:usb0="E00002FF" w:usb1="4000ACFF" w:usb2="00000001"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Tahoma">
    <w:altName w:val="Tahoma"/>
    <w:panose1 w:val="020b0604030000040204"/>
    <w:charset w:val="cc"/>
    <w:family w:val="swiss"/>
    <w:pitch w:val="variable"/>
    <w:sig w:usb0="E1002EFF" w:usb1="C000605B" w:usb2="00000029" w:usb3="00000000" w:csb0="0001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pPr>
    <w:r>
      <w:rPr/>
      <w:fldChar w:fldCharType="begin"/>
    </w:r>
    <w:r>
      <w:instrText>PAGE   \* MERGEFORMAT</w:instrText>
    </w:r>
    <w:r>
      <w:rPr/>
      <w:fldChar w:fldCharType="separate"/>
    </w:r>
    <w:r>
      <w:rPr>
        <w:noProof/>
      </w:rPr>
      <w:t>2</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419EA11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B0F0968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
    <w:nsid w:val="00000002"/>
    <w:multiLevelType w:val="hybridMultilevel"/>
    <w:tmpl w:val="C26666DA"/>
    <w:lvl w:ilvl="0" w:tplc="D222E9D6">
      <w:start w:val="1"/>
      <w:numFmt w:val="bullet"/>
      <w:lvlText w:val=""/>
      <w:lvlJc w:val="left"/>
      <w:pPr>
        <w:tabs>
          <w:tab w:val="left" w:leader="none" w:pos="1440"/>
        </w:tabs>
        <w:ind w:left="1440" w:hanging="360"/>
      </w:pPr>
      <w:rPr>
        <w:rFonts w:ascii="Symbol" w:hAnsi="Symbol" w:hint="default"/>
        <w:sz w:val="28"/>
        <w:szCs w:val="28"/>
      </w:rPr>
    </w:lvl>
    <w:lvl w:ilvl="1" w:tplc="04190003">
      <w:start w:val="1"/>
      <w:numFmt w:val="bullet"/>
      <w:lvlText w:val="o"/>
      <w:lvlJc w:val="left"/>
      <w:pPr>
        <w:tabs>
          <w:tab w:val="left" w:leader="none" w:pos="1440"/>
        </w:tabs>
        <w:ind w:left="1440" w:hanging="360"/>
      </w:pPr>
      <w:rPr>
        <w:rFonts w:ascii="Courier New" w:cs="Courier New" w:hAnsi="Courier New" w:hint="default"/>
      </w:rPr>
    </w:lvl>
    <w:lvl w:ilvl="2" w:tplc="04190005">
      <w:start w:val="1"/>
      <w:numFmt w:val="bullet"/>
      <w:lvlText w:val=""/>
      <w:lvlJc w:val="left"/>
      <w:pPr>
        <w:tabs>
          <w:tab w:val="left" w:leader="none" w:pos="2160"/>
        </w:tabs>
        <w:ind w:left="2160" w:hanging="360"/>
      </w:pPr>
      <w:rPr>
        <w:rFonts w:ascii="Wingdings" w:hAnsi="Wingdings" w:hint="default"/>
      </w:rPr>
    </w:lvl>
    <w:lvl w:ilvl="3" w:tplc="04190001">
      <w:start w:val="1"/>
      <w:numFmt w:val="bullet"/>
      <w:lvlText w:val=""/>
      <w:lvlJc w:val="left"/>
      <w:pPr>
        <w:tabs>
          <w:tab w:val="left" w:leader="none" w:pos="2880"/>
        </w:tabs>
        <w:ind w:left="2880" w:hanging="360"/>
      </w:pPr>
      <w:rPr>
        <w:rFonts w:ascii="Symbol" w:hAnsi="Symbol" w:hint="default"/>
      </w:rPr>
    </w:lvl>
    <w:lvl w:ilvl="4" w:tplc="04190003">
      <w:start w:val="1"/>
      <w:numFmt w:val="bullet"/>
      <w:lvlText w:val="o"/>
      <w:lvlJc w:val="left"/>
      <w:pPr>
        <w:tabs>
          <w:tab w:val="left" w:leader="none" w:pos="3600"/>
        </w:tabs>
        <w:ind w:left="3600" w:hanging="360"/>
      </w:pPr>
      <w:rPr>
        <w:rFonts w:ascii="Courier New" w:cs="Courier New" w:hAnsi="Courier New" w:hint="default"/>
      </w:rPr>
    </w:lvl>
    <w:lvl w:ilvl="5" w:tplc="04190005">
      <w:start w:val="1"/>
      <w:numFmt w:val="bullet"/>
      <w:lvlText w:val=""/>
      <w:lvlJc w:val="left"/>
      <w:pPr>
        <w:tabs>
          <w:tab w:val="left" w:leader="none" w:pos="4320"/>
        </w:tabs>
        <w:ind w:left="4320" w:hanging="360"/>
      </w:pPr>
      <w:rPr>
        <w:rFonts w:ascii="Wingdings" w:hAnsi="Wingdings" w:hint="default"/>
      </w:rPr>
    </w:lvl>
    <w:lvl w:ilvl="6" w:tplc="04190001">
      <w:start w:val="1"/>
      <w:numFmt w:val="bullet"/>
      <w:lvlText w:val=""/>
      <w:lvlJc w:val="left"/>
      <w:pPr>
        <w:tabs>
          <w:tab w:val="left" w:leader="none" w:pos="5040"/>
        </w:tabs>
        <w:ind w:left="5040" w:hanging="360"/>
      </w:pPr>
      <w:rPr>
        <w:rFonts w:ascii="Symbol" w:hAnsi="Symbol" w:hint="default"/>
      </w:rPr>
    </w:lvl>
    <w:lvl w:ilvl="7" w:tplc="04190003">
      <w:start w:val="1"/>
      <w:numFmt w:val="bullet"/>
      <w:lvlText w:val="o"/>
      <w:lvlJc w:val="left"/>
      <w:pPr>
        <w:tabs>
          <w:tab w:val="left" w:leader="none" w:pos="5760"/>
        </w:tabs>
        <w:ind w:left="5760" w:hanging="360"/>
      </w:pPr>
      <w:rPr>
        <w:rFonts w:ascii="Courier New" w:cs="Courier New" w:hAnsi="Courier New" w:hint="default"/>
      </w:rPr>
    </w:lvl>
    <w:lvl w:ilvl="8" w:tplc="04190005">
      <w:start w:val="1"/>
      <w:numFmt w:val="bullet"/>
      <w:lvlText w:val=""/>
      <w:lvlJc w:val="left"/>
      <w:pPr>
        <w:tabs>
          <w:tab w:val="left" w:leader="none" w:pos="6480"/>
        </w:tabs>
        <w:ind w:left="6480" w:hanging="360"/>
      </w:pPr>
      <w:rPr>
        <w:rFonts w:ascii="Wingdings" w:hAnsi="Wingdings" w:hint="default"/>
      </w:rPr>
    </w:lvl>
  </w:abstractNum>
  <w:abstractNum w:abstractNumId="3">
    <w:nsid w:val="00000003"/>
    <w:multiLevelType w:val="hybridMultilevel"/>
    <w:tmpl w:val="942A78C8"/>
    <w:lvl w:ilvl="0" w:tplc="D222E9D6">
      <w:start w:val="1"/>
      <w:numFmt w:val="bullet"/>
      <w:lvlText w:val=""/>
      <w:lvlJc w:val="left"/>
      <w:pPr>
        <w:tabs>
          <w:tab w:val="left" w:leader="none" w:pos="1440"/>
        </w:tabs>
        <w:ind w:left="1440" w:hanging="360"/>
      </w:pPr>
      <w:rPr>
        <w:rFonts w:ascii="Symbol" w:hAnsi="Symbol" w:hint="default"/>
        <w:sz w:val="28"/>
        <w:szCs w:val="28"/>
      </w:rPr>
    </w:lvl>
    <w:lvl w:ilvl="1" w:tplc="04190003">
      <w:start w:val="1"/>
      <w:numFmt w:val="bullet"/>
      <w:lvlText w:val="o"/>
      <w:lvlJc w:val="left"/>
      <w:pPr>
        <w:tabs>
          <w:tab w:val="left" w:leader="none" w:pos="1440"/>
        </w:tabs>
        <w:ind w:left="1440" w:hanging="360"/>
      </w:pPr>
      <w:rPr>
        <w:rFonts w:ascii="Courier New" w:cs="Courier New" w:hAnsi="Courier New" w:hint="default"/>
      </w:rPr>
    </w:lvl>
    <w:lvl w:ilvl="2" w:tplc="04190005">
      <w:start w:val="1"/>
      <w:numFmt w:val="bullet"/>
      <w:lvlText w:val=""/>
      <w:lvlJc w:val="left"/>
      <w:pPr>
        <w:tabs>
          <w:tab w:val="left" w:leader="none" w:pos="2160"/>
        </w:tabs>
        <w:ind w:left="2160" w:hanging="360"/>
      </w:pPr>
      <w:rPr>
        <w:rFonts w:ascii="Wingdings" w:hAnsi="Wingdings" w:hint="default"/>
      </w:rPr>
    </w:lvl>
    <w:lvl w:ilvl="3" w:tplc="04190001">
      <w:start w:val="1"/>
      <w:numFmt w:val="bullet"/>
      <w:lvlText w:val=""/>
      <w:lvlJc w:val="left"/>
      <w:pPr>
        <w:tabs>
          <w:tab w:val="left" w:leader="none" w:pos="2880"/>
        </w:tabs>
        <w:ind w:left="2880" w:hanging="360"/>
      </w:pPr>
      <w:rPr>
        <w:rFonts w:ascii="Symbol" w:hAnsi="Symbol" w:hint="default"/>
      </w:rPr>
    </w:lvl>
    <w:lvl w:ilvl="4" w:tplc="04190003">
      <w:start w:val="1"/>
      <w:numFmt w:val="bullet"/>
      <w:lvlText w:val="o"/>
      <w:lvlJc w:val="left"/>
      <w:pPr>
        <w:tabs>
          <w:tab w:val="left" w:leader="none" w:pos="3600"/>
        </w:tabs>
        <w:ind w:left="3600" w:hanging="360"/>
      </w:pPr>
      <w:rPr>
        <w:rFonts w:ascii="Courier New" w:cs="Courier New" w:hAnsi="Courier New" w:hint="default"/>
      </w:rPr>
    </w:lvl>
    <w:lvl w:ilvl="5" w:tplc="04190005">
      <w:start w:val="1"/>
      <w:numFmt w:val="bullet"/>
      <w:lvlText w:val=""/>
      <w:lvlJc w:val="left"/>
      <w:pPr>
        <w:tabs>
          <w:tab w:val="left" w:leader="none" w:pos="4320"/>
        </w:tabs>
        <w:ind w:left="4320" w:hanging="360"/>
      </w:pPr>
      <w:rPr>
        <w:rFonts w:ascii="Wingdings" w:hAnsi="Wingdings" w:hint="default"/>
      </w:rPr>
    </w:lvl>
    <w:lvl w:ilvl="6" w:tplc="04190001">
      <w:start w:val="1"/>
      <w:numFmt w:val="bullet"/>
      <w:lvlText w:val=""/>
      <w:lvlJc w:val="left"/>
      <w:pPr>
        <w:tabs>
          <w:tab w:val="left" w:leader="none" w:pos="5040"/>
        </w:tabs>
        <w:ind w:left="5040" w:hanging="360"/>
      </w:pPr>
      <w:rPr>
        <w:rFonts w:ascii="Symbol" w:hAnsi="Symbol" w:hint="default"/>
      </w:rPr>
    </w:lvl>
    <w:lvl w:ilvl="7" w:tplc="04190003">
      <w:start w:val="1"/>
      <w:numFmt w:val="bullet"/>
      <w:lvlText w:val="o"/>
      <w:lvlJc w:val="left"/>
      <w:pPr>
        <w:tabs>
          <w:tab w:val="left" w:leader="none" w:pos="5760"/>
        </w:tabs>
        <w:ind w:left="5760" w:hanging="360"/>
      </w:pPr>
      <w:rPr>
        <w:rFonts w:ascii="Courier New" w:cs="Courier New" w:hAnsi="Courier New" w:hint="default"/>
      </w:rPr>
    </w:lvl>
    <w:lvl w:ilvl="8" w:tplc="04190005">
      <w:start w:val="1"/>
      <w:numFmt w:val="bullet"/>
      <w:lvlText w:val=""/>
      <w:lvlJc w:val="left"/>
      <w:pPr>
        <w:tabs>
          <w:tab w:val="left" w:leader="none" w:pos="6480"/>
        </w:tabs>
        <w:ind w:left="6480" w:hanging="360"/>
      </w:pPr>
      <w:rPr>
        <w:rFonts w:ascii="Wingdings" w:hAnsi="Wingdings" w:hint="default"/>
      </w:rPr>
    </w:lvl>
  </w:abstractNum>
  <w:abstractNum w:abstractNumId="4">
    <w:nsid w:val="00000004"/>
    <w:multiLevelType w:val="multilevel"/>
    <w:tmpl w:val="F57652C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592C4FF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3F003DE8"/>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12FCBA0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8">
    <w:nsid w:val="00000008"/>
    <w:multiLevelType w:val="multilevel"/>
    <w:tmpl w:val="F68CF84A"/>
    <w:lvl w:ilvl="0">
      <w:start w:val="1"/>
      <w:numFmt w:val="decimal"/>
      <w:lvlText w:val="%1."/>
      <w:lvlJc w:val="left"/>
      <w:pPr>
        <w:tabs>
          <w:tab w:val="left" w:leader="none" w:pos="720"/>
        </w:tabs>
        <w:ind w:left="720" w:hanging="360"/>
      </w:pPr>
    </w:lvl>
    <w:lvl w:ilvl="1">
      <w:start w:val="1"/>
      <w:numFmt w:val="decimal"/>
      <w:lvlText w:val="%2."/>
      <w:lvlJc w:val="left"/>
      <w:pPr>
        <w:tabs>
          <w:tab w:val="left" w:leader="none" w:pos="1440"/>
        </w:tabs>
        <w:ind w:left="1440" w:hanging="360"/>
      </w:pPr>
    </w:lvl>
    <w:lvl w:ilvl="2">
      <w:start w:val="1"/>
      <w:numFmt w:val="decimal"/>
      <w:lvlText w:val="%3."/>
      <w:lvlJc w:val="left"/>
      <w:pPr>
        <w:tabs>
          <w:tab w:val="left" w:leader="none" w:pos="2160"/>
        </w:tabs>
        <w:ind w:left="2160" w:hanging="360"/>
      </w:pPr>
    </w:lvl>
    <w:lvl w:ilvl="3">
      <w:start w:val="1"/>
      <w:numFmt w:val="decimal"/>
      <w:lvlText w:val="%4."/>
      <w:lvlJc w:val="left"/>
      <w:pPr>
        <w:tabs>
          <w:tab w:val="left" w:leader="none" w:pos="2880"/>
        </w:tabs>
        <w:ind w:left="2880" w:hanging="360"/>
      </w:pPr>
    </w:lvl>
    <w:lvl w:ilvl="4">
      <w:start w:val="1"/>
      <w:numFmt w:val="decimal"/>
      <w:lvlText w:val="%5."/>
      <w:lvlJc w:val="left"/>
      <w:pPr>
        <w:tabs>
          <w:tab w:val="left" w:leader="none" w:pos="3600"/>
        </w:tabs>
        <w:ind w:left="3600" w:hanging="360"/>
      </w:pPr>
    </w:lvl>
    <w:lvl w:ilvl="5">
      <w:start w:val="1"/>
      <w:numFmt w:val="decimal"/>
      <w:lvlText w:val="%6."/>
      <w:lvlJc w:val="left"/>
      <w:pPr>
        <w:tabs>
          <w:tab w:val="left" w:leader="none" w:pos="4320"/>
        </w:tabs>
        <w:ind w:left="4320" w:hanging="360"/>
      </w:pPr>
    </w:lvl>
    <w:lvl w:ilvl="6">
      <w:start w:val="1"/>
      <w:numFmt w:val="decimal"/>
      <w:lvlText w:val="%7."/>
      <w:lvlJc w:val="left"/>
      <w:pPr>
        <w:tabs>
          <w:tab w:val="left" w:leader="none" w:pos="5040"/>
        </w:tabs>
        <w:ind w:left="5040" w:hanging="360"/>
      </w:pPr>
    </w:lvl>
    <w:lvl w:ilvl="7">
      <w:start w:val="1"/>
      <w:numFmt w:val="decimal"/>
      <w:lvlText w:val="%8."/>
      <w:lvlJc w:val="left"/>
      <w:pPr>
        <w:tabs>
          <w:tab w:val="left" w:leader="none" w:pos="5760"/>
        </w:tabs>
        <w:ind w:left="5760" w:hanging="360"/>
      </w:pPr>
    </w:lvl>
    <w:lvl w:ilvl="8">
      <w:start w:val="1"/>
      <w:numFmt w:val="decimal"/>
      <w:lvlText w:val="%9."/>
      <w:lvlJc w:val="left"/>
      <w:pPr>
        <w:tabs>
          <w:tab w:val="left" w:leader="none" w:pos="6480"/>
        </w:tabs>
        <w:ind w:left="6480" w:hanging="360"/>
      </w:pPr>
    </w:lvl>
  </w:abstractNum>
  <w:abstractNum w:abstractNumId="9">
    <w:nsid w:val="00000009"/>
    <w:multiLevelType w:val="singleLevel"/>
    <w:tmpl w:val="0419000F"/>
    <w:lvl w:ilvl="0">
      <w:start w:val="1"/>
      <w:numFmt w:val="decimal"/>
      <w:lvlText w:val="%1."/>
      <w:lvlJc w:val="left"/>
      <w:pPr>
        <w:tabs>
          <w:tab w:val="left" w:leader="none" w:pos="360"/>
        </w:tabs>
        <w:ind w:left="360" w:hanging="360"/>
      </w:pPr>
    </w:lvl>
  </w:abstractNum>
  <w:abstractNum w:abstractNumId="10">
    <w:nsid w:val="0000000A"/>
    <w:multiLevelType w:val="multilevel"/>
    <w:tmpl w:val="7258015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4"/>
  </w:num>
  <w:num w:numId="2">
    <w:abstractNumId w:val="5"/>
  </w:num>
  <w:num w:numId="3">
    <w:abstractNumId w:val="10"/>
  </w:num>
  <w:num w:numId="4">
    <w:abstractNumId w:val="6"/>
  </w:num>
  <w:num w:numId="5">
    <w:abstractNumId w:val="3"/>
  </w:num>
  <w:num w:numId="6">
    <w:abstractNumId w:val="9"/>
    <w:lvlOverride w:ilvl="0">
      <w:startOverride w:val="1"/>
    </w:lvlOverride>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lvlOverride w:ilvl="0">
      <w:startOverride w:val="1"/>
    </w:lvlOverride>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ru-RU" w:bidi="ar-SA" w:eastAsia="ru-RU"/>
      </w:rPr>
    </w:rPrDefault>
    <w:pPrDefault>
      <w:pPr/>
    </w:pPrDefault>
  </w:docDefaults>
  <w:style w:type="paragraph" w:default="1" w:styleId="style0">
    <w:name w:val="Normal"/>
    <w:next w:val="style0"/>
    <w:qFormat/>
    <w:pPr/>
  </w:style>
  <w:style w:type="paragraph" w:styleId="style1">
    <w:name w:val="heading 1"/>
    <w:basedOn w:val="style0"/>
    <w:next w:val="style0"/>
    <w:link w:val="style4100"/>
    <w:qFormat/>
    <w:uiPriority w:val="9"/>
    <w:pPr>
      <w:keepNext/>
      <w:widowControl w:val="false"/>
      <w:ind w:firstLine="400"/>
      <w:jc w:val="both"/>
      <w:outlineLvl w:val="0"/>
    </w:pPr>
    <w:rPr>
      <w:rFonts w:ascii="Cambria" w:hAnsi="Cambria"/>
      <w:b/>
      <w:kern w:val="32"/>
      <w:sz w:val="32"/>
    </w:rPr>
  </w:style>
  <w:style w:type="paragraph" w:styleId="style3">
    <w:name w:val="heading 3"/>
    <w:basedOn w:val="style0"/>
    <w:next w:val="style0"/>
    <w:link w:val="style4101"/>
    <w:qFormat/>
    <w:uiPriority w:val="9"/>
    <w:pPr>
      <w:keepNext/>
      <w:spacing w:before="240" w:after="60" w:lineRule="auto" w:line="276"/>
      <w:outlineLvl w:val="2"/>
    </w:pPr>
    <w:rPr>
      <w:rFonts w:ascii="Arial" w:cs="Arial" w:hAnsi="Arial"/>
      <w:b/>
      <w:bCs/>
      <w:sz w:val="26"/>
      <w:szCs w:val="26"/>
      <w:lang w:eastAsia="en-US"/>
    </w:rPr>
  </w:style>
  <w:style w:type="paragraph" w:styleId="style4">
    <w:name w:val="heading 4"/>
    <w:basedOn w:val="style0"/>
    <w:next w:val="style0"/>
    <w:link w:val="style4106"/>
    <w:qFormat/>
    <w:uiPriority w:val="9"/>
    <w:pPr>
      <w:keepNext/>
      <w:spacing w:before="240" w:after="60"/>
      <w:outlineLvl w:val="3"/>
    </w:pPr>
    <w:rPr>
      <w:rFonts w:ascii="Calibri" w:cs="SimSun" w:eastAsia="SimSun" w:hAnsi="Calibri"/>
      <w:b/>
      <w:bCs/>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66">
    <w:name w:val="Body Text"/>
    <w:basedOn w:val="style0"/>
    <w:next w:val="style66"/>
    <w:link w:val="style4097"/>
    <w:pPr>
      <w:spacing w:after="120"/>
    </w:pPr>
    <w:rPr>
      <w:sz w:val="24"/>
    </w:rPr>
  </w:style>
  <w:style w:type="character" w:customStyle="1" w:styleId="style4097">
    <w:name w:val="Основной текст Знак"/>
    <w:next w:val="style4097"/>
    <w:link w:val="style66"/>
    <w:rPr>
      <w:sz w:val="24"/>
    </w:rPr>
  </w:style>
  <w:style w:type="paragraph" w:styleId="style67">
    <w:name w:val="Body Text Indent"/>
    <w:basedOn w:val="style0"/>
    <w:next w:val="style67"/>
    <w:link w:val="style4098"/>
    <w:uiPriority w:val="99"/>
    <w:pPr>
      <w:spacing w:after="120"/>
      <w:ind w:left="283"/>
    </w:pPr>
    <w:rPr/>
  </w:style>
  <w:style w:type="character" w:customStyle="1" w:styleId="style4098">
    <w:name w:val="Основной текст с отступом Знак"/>
    <w:basedOn w:val="style65"/>
    <w:next w:val="style4098"/>
    <w:link w:val="style67"/>
    <w:uiPriority w:val="99"/>
  </w:style>
  <w:style w:type="paragraph" w:customStyle="1" w:styleId="style4099">
    <w:name w:val="Знак Знак Знак Знак"/>
    <w:basedOn w:val="style0"/>
    <w:next w:val="style4099"/>
    <w:pPr>
      <w:spacing w:before="100" w:beforeAutospacing="true" w:after="100" w:afterAutospacing="true"/>
    </w:pPr>
    <w:rPr>
      <w:rFonts w:ascii="Tahoma" w:hAnsi="Tahoma"/>
      <w:lang w:val="en-US" w:eastAsia="en-US"/>
    </w:rPr>
  </w:style>
  <w:style w:type="character" w:customStyle="1" w:styleId="style4100">
    <w:name w:val="Заголовок 1 Знак"/>
    <w:next w:val="style4100"/>
    <w:link w:val="style1"/>
    <w:rPr>
      <w:rFonts w:ascii="Cambria" w:hAnsi="Cambria"/>
      <w:b/>
      <w:kern w:val="32"/>
      <w:sz w:val="32"/>
    </w:rPr>
  </w:style>
  <w:style w:type="character" w:customStyle="1" w:styleId="style4101">
    <w:name w:val="Заголовок 3 Знак"/>
    <w:next w:val="style4101"/>
    <w:link w:val="style3"/>
    <w:rPr>
      <w:rFonts w:ascii="Arial" w:cs="Arial" w:hAnsi="Arial"/>
      <w:b/>
      <w:bCs/>
      <w:sz w:val="26"/>
      <w:szCs w:val="26"/>
      <w:lang w:eastAsia="en-US"/>
    </w:rPr>
  </w:style>
  <w:style w:type="paragraph" w:styleId="style94">
    <w:name w:val="Normal (Web)"/>
    <w:basedOn w:val="style0"/>
    <w:next w:val="style94"/>
    <w:qFormat/>
    <w:uiPriority w:val="34"/>
    <w:pPr>
      <w:tabs>
        <w:tab w:val="left" w:leader="none" w:pos="720"/>
      </w:tabs>
      <w:spacing w:before="100" w:beforeAutospacing="true" w:after="100" w:afterAutospacing="true"/>
      <w:ind w:left="720" w:hanging="360"/>
    </w:pPr>
    <w:rPr>
      <w:sz w:val="24"/>
      <w:szCs w:val="24"/>
    </w:rPr>
  </w:style>
  <w:style w:type="paragraph" w:styleId="style179">
    <w:name w:val="List Paragraph"/>
    <w:basedOn w:val="style0"/>
    <w:next w:val="style179"/>
    <w:qFormat/>
    <w:uiPriority w:val="34"/>
    <w:pPr>
      <w:ind w:left="720"/>
    </w:pPr>
    <w:rPr>
      <w:sz w:val="24"/>
      <w:szCs w:val="24"/>
    </w:rPr>
  </w:style>
  <w:style w:type="character" w:customStyle="1" w:styleId="style4102">
    <w:name w:val="apple-converted-space"/>
    <w:next w:val="style4102"/>
  </w:style>
  <w:style w:type="character" w:customStyle="1" w:styleId="style4103">
    <w:name w:val="mw-headline"/>
    <w:next w:val="style4103"/>
  </w:style>
  <w:style w:type="paragraph" w:styleId="style31">
    <w:name w:val="header"/>
    <w:basedOn w:val="style0"/>
    <w:next w:val="style31"/>
    <w:link w:val="style4104"/>
    <w:uiPriority w:val="99"/>
    <w:pPr>
      <w:tabs>
        <w:tab w:val="center" w:leader="none" w:pos="4677"/>
        <w:tab w:val="right" w:leader="none" w:pos="9355"/>
      </w:tabs>
    </w:pPr>
    <w:rPr/>
  </w:style>
  <w:style w:type="character" w:customStyle="1" w:styleId="style4104">
    <w:name w:val="Верхний колонтитул Знак"/>
    <w:basedOn w:val="style65"/>
    <w:next w:val="style4104"/>
    <w:link w:val="style31"/>
    <w:uiPriority w:val="99"/>
  </w:style>
  <w:style w:type="paragraph" w:styleId="style32">
    <w:name w:val="footer"/>
    <w:basedOn w:val="style0"/>
    <w:next w:val="style32"/>
    <w:link w:val="style4105"/>
    <w:uiPriority w:val="99"/>
    <w:pPr>
      <w:tabs>
        <w:tab w:val="center" w:leader="none" w:pos="4677"/>
        <w:tab w:val="right" w:leader="none" w:pos="9355"/>
      </w:tabs>
    </w:pPr>
    <w:rPr/>
  </w:style>
  <w:style w:type="character" w:customStyle="1" w:styleId="style4105">
    <w:name w:val="Нижний колонтитул Знак"/>
    <w:basedOn w:val="style65"/>
    <w:next w:val="style4105"/>
    <w:link w:val="style32"/>
    <w:uiPriority w:val="99"/>
  </w:style>
  <w:style w:type="character" w:customStyle="1" w:styleId="style4106">
    <w:name w:val="Заголовок 4 Знак"/>
    <w:basedOn w:val="style65"/>
    <w:next w:val="style4106"/>
    <w:link w:val="style4"/>
    <w:uiPriority w:val="9"/>
    <w:rPr>
      <w:rFonts w:ascii="Calibri" w:cs="SimSun" w:eastAsia="SimSun" w:hAnsi="Calibri"/>
      <w:b/>
      <w:bCs/>
      <w:sz w:val="28"/>
      <w:szCs w:val="28"/>
    </w:rPr>
  </w:style>
  <w:style w:type="character" w:styleId="style85">
    <w:name w:val="Hyperlink"/>
    <w:basedOn w:val="style65"/>
    <w:next w:val="style85"/>
    <w:rPr>
      <w:color w:val="0563c1"/>
      <w:u w:val="single"/>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2225</Words>
  <Pages>9</Pages>
  <Characters>16032</Characters>
  <Application>WPS Office</Application>
  <DocSecurity>0</DocSecurity>
  <Paragraphs>230</Paragraphs>
  <ScaleCrop>false</ScaleCrop>
  <Company>Microsoft Corporation</Company>
  <LinksUpToDate>false</LinksUpToDate>
  <CharactersWithSpaces>18168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2019-04-24T01:48:48Z</dcterms:created>
  <dc:creator>Microsoft Office</dc:creator>
  <lastModifiedBy>Lenovo TAB 2 A10-70L</lastModifiedBy>
  <dcterms:modified xsi:type="dcterms:W3CDTF">2019-04-24T01:59:32Z</dcterms:modified>
  <revision>2</revision>
</coreProperties>
</file>

<file path=docProps/custom.xml><?xml version="1.0" encoding="utf-8"?>
<Properties xmlns="http://schemas.openxmlformats.org/officeDocument/2006/custom-properties" xmlns:vt="http://schemas.openxmlformats.org/officeDocument/2006/docPropsVTypes"/>
</file>