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075E15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075E1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075E1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075E1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7D67AF">
      <w:pPr>
        <w:jc w:val="center"/>
        <w:rPr>
          <w:sz w:val="28"/>
        </w:rPr>
      </w:pPr>
    </w:p>
    <w:p w:rsidR="004B2C94" w:rsidRPr="00C1680F" w:rsidRDefault="004B2C94" w:rsidP="007D67AF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7D67AF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</w:p>
    <w:p w:rsidR="00C1680F" w:rsidRPr="00C11CE6" w:rsidRDefault="00C1680F" w:rsidP="007D67A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ДИСЦИПЛИНЫ«</w:t>
      </w:r>
      <w:r w:rsidR="00C76FF2" w:rsidRPr="00E309EE">
        <w:rPr>
          <w:b/>
          <w:caps/>
          <w:sz w:val="32"/>
        </w:rPr>
        <w:t>Неотложная помощь и реанимация в стоматологической практике</w:t>
      </w:r>
      <w:r w:rsidRPr="00C11CE6">
        <w:rPr>
          <w:b/>
          <w:caps/>
          <w:sz w:val="32"/>
          <w:szCs w:val="32"/>
        </w:rPr>
        <w:t>»по специальности</w:t>
      </w:r>
      <w:r w:rsidR="00C91428">
        <w:rPr>
          <w:b/>
          <w:caps/>
          <w:sz w:val="32"/>
          <w:szCs w:val="32"/>
        </w:rPr>
        <w:t>31.08.74</w:t>
      </w:r>
      <w:r w:rsidRPr="00C11CE6">
        <w:rPr>
          <w:b/>
          <w:caps/>
          <w:sz w:val="32"/>
          <w:szCs w:val="32"/>
        </w:rPr>
        <w:t xml:space="preserve"> «</w:t>
      </w:r>
      <w:r w:rsidR="00C91428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>
        <w:rPr>
          <w:color w:val="000000"/>
          <w:sz w:val="24"/>
          <w:szCs w:val="24"/>
        </w:rPr>
        <w:t>31.08.</w:t>
      </w:r>
      <w:r w:rsidR="00C91428">
        <w:rPr>
          <w:color w:val="000000"/>
          <w:sz w:val="24"/>
          <w:szCs w:val="24"/>
        </w:rPr>
        <w:t>74</w:t>
      </w:r>
      <w:r>
        <w:rPr>
          <w:color w:val="000000"/>
          <w:sz w:val="24"/>
          <w:szCs w:val="24"/>
        </w:rPr>
        <w:t xml:space="preserve"> «</w:t>
      </w:r>
      <w:r w:rsidR="00C91428">
        <w:rPr>
          <w:color w:val="000000"/>
          <w:sz w:val="24"/>
          <w:szCs w:val="24"/>
        </w:rPr>
        <w:t>Стоматология хирургическая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FD5B6B" w:rsidRPr="00C1680F">
        <w:rPr>
          <w:b/>
          <w:sz w:val="24"/>
        </w:rPr>
        <w:t>Пояснительная записка</w:t>
      </w:r>
    </w:p>
    <w:p w:rsidR="007D67AF" w:rsidRPr="00C1680F" w:rsidRDefault="007D67AF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901E60" w:rsidRDefault="00901E60" w:rsidP="00901E60">
      <w:pPr>
        <w:ind w:firstLine="709"/>
        <w:jc w:val="both"/>
        <w:rPr>
          <w:sz w:val="24"/>
        </w:rPr>
      </w:pPr>
      <w:r>
        <w:rPr>
          <w:sz w:val="24"/>
        </w:rPr>
        <w:t xml:space="preserve">Целью самостоятельной работы является 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</w:t>
      </w:r>
      <w:r w:rsidR="0010567D">
        <w:rPr>
          <w:sz w:val="24"/>
        </w:rPr>
        <w:t>стоматологу-</w:t>
      </w:r>
      <w:r>
        <w:rPr>
          <w:sz w:val="24"/>
        </w:rPr>
        <w:t>хирургу для выполнения профессиональных обязанностей в условиях медицинской организации.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</w:p>
    <w:p w:rsidR="004B2C94" w:rsidRPr="00C1680F" w:rsidRDefault="004B2C94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Pr="00C76FF2">
              <w:rPr>
                <w:sz w:val="24"/>
              </w:rPr>
              <w:t>Неотложная помощь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Pr="00C1680F" w:rsidRDefault="00276205" w:rsidP="001E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 xml:space="preserve">Письменный опрос 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1680F">
              <w:rPr>
                <w:sz w:val="24"/>
                <w:szCs w:val="24"/>
              </w:rPr>
              <w:t>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Pr="00962EB8">
              <w:rPr>
                <w:sz w:val="24"/>
              </w:rPr>
              <w:t>Реанимация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Pr="00C1680F" w:rsidRDefault="00276205" w:rsidP="001E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1680F">
              <w:rPr>
                <w:sz w:val="24"/>
                <w:szCs w:val="24"/>
              </w:rPr>
              <w:t>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C76FF2" w:rsidRPr="00C76FF2">
              <w:rPr>
                <w:sz w:val="24"/>
              </w:rPr>
              <w:t>Неотложная помощь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4E2EE3">
              <w:rPr>
                <w:sz w:val="24"/>
              </w:rPr>
              <w:t>Оказание неотложной помощи при обмороке, коллапсе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</w:t>
            </w:r>
            <w:r w:rsidRPr="00992A3B">
              <w:rPr>
                <w:sz w:val="24"/>
              </w:rPr>
              <w:t>стный опрос, письменный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4E2EE3">
              <w:rPr>
                <w:sz w:val="24"/>
              </w:rPr>
              <w:t>Оказание неотложной помощи при крапивнице, ангионевротическом отеке Квинке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9A52CC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C355EE">
              <w:rPr>
                <w:sz w:val="24"/>
              </w:rPr>
              <w:t>Оказание неотложной помощи при анафилактическом шоке, гипертоническом кризе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>
              <w:rPr>
                <w:sz w:val="24"/>
              </w:rPr>
              <w:t>У</w:t>
            </w:r>
            <w:r w:rsidRPr="00FF6266">
              <w:rPr>
                <w:sz w:val="24"/>
              </w:rPr>
              <w:t>стный опрос, письменный опрос, решение проблемно-ситуационных задач, прием 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C355EE">
              <w:rPr>
                <w:sz w:val="24"/>
              </w:rPr>
              <w:t xml:space="preserve">Оказание неотложной помощи при </w:t>
            </w:r>
            <w:r w:rsidRPr="00C355EE">
              <w:rPr>
                <w:sz w:val="24"/>
              </w:rPr>
              <w:lastRenderedPageBreak/>
              <w:t>ишемической болезни сердца. Стенокардии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курация </w:t>
            </w:r>
            <w:r>
              <w:rPr>
                <w:sz w:val="24"/>
                <w:szCs w:val="24"/>
              </w:rPr>
              <w:lastRenderedPageBreak/>
              <w:t>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9A52CC">
              <w:rPr>
                <w:sz w:val="24"/>
                <w:szCs w:val="24"/>
              </w:rPr>
              <w:lastRenderedPageBreak/>
              <w:t xml:space="preserve">Устный опрос, письменный опрос, прием </w:t>
            </w:r>
            <w:r w:rsidRPr="009A52CC">
              <w:rPr>
                <w:sz w:val="24"/>
                <w:szCs w:val="24"/>
              </w:rPr>
              <w:lastRenderedPageBreak/>
              <w:t>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C355EE">
              <w:rPr>
                <w:sz w:val="24"/>
              </w:rPr>
              <w:t>Оказание неотложной помощи при ишемической болезни сердца. Инфаркт миокарда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FF6266">
              <w:rPr>
                <w:color w:val="000000"/>
                <w:sz w:val="24"/>
              </w:rPr>
              <w:t>У</w:t>
            </w:r>
            <w:r w:rsidRPr="00FF6266">
              <w:rPr>
                <w:sz w:val="24"/>
              </w:rPr>
              <w:t>стный опрос, письменный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C355EE">
              <w:rPr>
                <w:sz w:val="24"/>
              </w:rPr>
              <w:t>Оказание неотложной помощи при бронхиальной астме. Астматический статус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Pr="00A631A9" w:rsidRDefault="00276205" w:rsidP="001E70ED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A631A9">
              <w:rPr>
                <w:sz w:val="24"/>
              </w:rPr>
              <w:t>стный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76205" w:rsidRPr="00526DE8" w:rsidRDefault="00276205" w:rsidP="001E70ED">
            <w:pPr>
              <w:rPr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Pr="008E7FB9">
              <w:rPr>
                <w:sz w:val="24"/>
              </w:rPr>
              <w:t>Оказание неотложной помощи при сахарном диабете. Гипогликимическое состояние. Гипергликимическое состояние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>
              <w:rPr>
                <w:sz w:val="24"/>
              </w:rPr>
              <w:t>У</w:t>
            </w:r>
            <w:r w:rsidRPr="00A631A9">
              <w:rPr>
                <w:sz w:val="24"/>
              </w:rPr>
              <w:t>стный опрос,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9889" w:type="dxa"/>
            <w:gridSpan w:val="5"/>
          </w:tcPr>
          <w:p w:rsidR="00744449" w:rsidRPr="00C1680F" w:rsidRDefault="00744449" w:rsidP="00884F3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962EB8" w:rsidRPr="00962EB8">
              <w:rPr>
                <w:sz w:val="24"/>
              </w:rPr>
              <w:t>Реанимация в стоматологии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Реанимация и интенсивная терапия при терминальных состояниях и несчастных случаях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Реанимация и интенсивная терапия в амбулаторной стоматологической практике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Реанимация при шоке и коме различной этиологии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B9140A">
              <w:rPr>
                <w:sz w:val="24"/>
                <w:szCs w:val="24"/>
              </w:rPr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76205" w:rsidRPr="00C1680F" w:rsidTr="00B33DCB">
        <w:tc>
          <w:tcPr>
            <w:tcW w:w="675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76205" w:rsidRDefault="00276205" w:rsidP="001E70ED">
            <w:r w:rsidRPr="00526DE8">
              <w:rPr>
                <w:sz w:val="24"/>
                <w:szCs w:val="24"/>
              </w:rPr>
              <w:t>Тема «</w:t>
            </w:r>
            <w:r w:rsidRPr="00F971A8">
              <w:rPr>
                <w:sz w:val="24"/>
              </w:rPr>
              <w:t>Интенсивная терапия при шоке и коме различной этиологии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76205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76205" w:rsidRPr="00C1680F" w:rsidRDefault="00276205" w:rsidP="001E7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901E60">
              <w:rPr>
                <w:sz w:val="24"/>
                <w:szCs w:val="24"/>
              </w:rPr>
              <w:t xml:space="preserve">перевязки, ассистирование на </w:t>
            </w:r>
            <w:r w:rsidRPr="00901E60">
              <w:rPr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2268" w:type="dxa"/>
          </w:tcPr>
          <w:p w:rsidR="00276205" w:rsidRDefault="00276205" w:rsidP="001E70ED">
            <w:r w:rsidRPr="00B9140A">
              <w:rPr>
                <w:sz w:val="24"/>
                <w:szCs w:val="24"/>
              </w:rPr>
              <w:lastRenderedPageBreak/>
              <w:t>Устный опрос, письменный опрос, прием практического навыка</w:t>
            </w:r>
          </w:p>
        </w:tc>
        <w:tc>
          <w:tcPr>
            <w:tcW w:w="2126" w:type="dxa"/>
          </w:tcPr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76205" w:rsidRPr="00C1680F" w:rsidRDefault="00276205" w:rsidP="001E70ED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</w:t>
      </w:r>
      <w:r w:rsidR="00276205">
        <w:rPr>
          <w:b/>
          <w:sz w:val="24"/>
          <w:szCs w:val="24"/>
        </w:rPr>
        <w:t>к</w:t>
      </w:r>
      <w:bookmarkStart w:id="0" w:name="_GoBack"/>
      <w:bookmarkEnd w:id="0"/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10283" w:rsidRDefault="00110283" w:rsidP="009C4A0D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5"/>
      </w:tblGrid>
      <w:tr w:rsidR="00110283" w:rsidTr="00110283">
        <w:tc>
          <w:tcPr>
            <w:tcW w:w="4785" w:type="dxa"/>
          </w:tcPr>
          <w:p w:rsidR="00110283" w:rsidRPr="00BD3374" w:rsidRDefault="00110283" w:rsidP="0011028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110283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110283" w:rsidRPr="00BD3374" w:rsidRDefault="00110283" w:rsidP="00110283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110283" w:rsidRPr="00BD3374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110283" w:rsidRDefault="00110283" w:rsidP="00110283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110283" w:rsidRPr="00BD3374" w:rsidRDefault="00110283" w:rsidP="00110283">
      <w:pPr>
        <w:jc w:val="both"/>
        <w:rPr>
          <w:color w:val="000000"/>
          <w:sz w:val="24"/>
          <w:szCs w:val="24"/>
        </w:rPr>
      </w:pP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</w:t>
      </w:r>
      <w:r w:rsidRPr="00BD3374">
        <w:rPr>
          <w:color w:val="000000"/>
          <w:sz w:val="24"/>
          <w:szCs w:val="24"/>
        </w:rPr>
        <w:lastRenderedPageBreak/>
        <w:t xml:space="preserve">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BD3374" w:rsidRDefault="00C35B2E" w:rsidP="00901E60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 xml:space="preserve">конспект на основе плана, составленного из пунктов в виде вопросов, на которыенужно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01E60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9) использовать приемы наглядного отражения содержания(абзацы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33DCB" w:rsidRDefault="00B33DCB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901E6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075E15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таблица должнаиметь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3F2200" w:rsidRPr="00BD3374" w:rsidRDefault="003F2200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3F2200" w:rsidRPr="00BD3374" w:rsidRDefault="003F2200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110283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11028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28" w:rsidRDefault="00D61628" w:rsidP="00FD5B6B">
      <w:r>
        <w:separator/>
      </w:r>
    </w:p>
  </w:endnote>
  <w:endnote w:type="continuationSeparator" w:id="1">
    <w:p w:rsidR="00D61628" w:rsidRDefault="00D6162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32" w:rsidRDefault="009579EA">
    <w:pPr>
      <w:pStyle w:val="ad"/>
      <w:jc w:val="right"/>
    </w:pPr>
    <w:r>
      <w:fldChar w:fldCharType="begin"/>
    </w:r>
    <w:r w:rsidR="00FE3E32">
      <w:instrText>PAGE   \* MERGEFORMAT</w:instrText>
    </w:r>
    <w:r>
      <w:fldChar w:fldCharType="separate"/>
    </w:r>
    <w:r w:rsidR="00992F4D">
      <w:rPr>
        <w:noProof/>
      </w:rPr>
      <w:t>10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28" w:rsidRDefault="00D61628" w:rsidP="00FD5B6B">
      <w:r>
        <w:separator/>
      </w:r>
    </w:p>
  </w:footnote>
  <w:footnote w:type="continuationSeparator" w:id="1">
    <w:p w:rsidR="00D61628" w:rsidRDefault="00D6162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33367"/>
    <w:rsid w:val="00033AB9"/>
    <w:rsid w:val="0003403A"/>
    <w:rsid w:val="00075E15"/>
    <w:rsid w:val="00083C34"/>
    <w:rsid w:val="000931E3"/>
    <w:rsid w:val="0010567D"/>
    <w:rsid w:val="00110283"/>
    <w:rsid w:val="001D7BA1"/>
    <w:rsid w:val="001F5EE1"/>
    <w:rsid w:val="0026698D"/>
    <w:rsid w:val="00276205"/>
    <w:rsid w:val="002D2784"/>
    <w:rsid w:val="003B5F75"/>
    <w:rsid w:val="003C37BE"/>
    <w:rsid w:val="003F2200"/>
    <w:rsid w:val="00476000"/>
    <w:rsid w:val="004B2C94"/>
    <w:rsid w:val="004C1386"/>
    <w:rsid w:val="004D1091"/>
    <w:rsid w:val="004F70C6"/>
    <w:rsid w:val="00541545"/>
    <w:rsid w:val="00564996"/>
    <w:rsid w:val="005677BE"/>
    <w:rsid w:val="00576871"/>
    <w:rsid w:val="00582BA5"/>
    <w:rsid w:val="00593334"/>
    <w:rsid w:val="005D61BD"/>
    <w:rsid w:val="005E682B"/>
    <w:rsid w:val="00640FE8"/>
    <w:rsid w:val="006847B8"/>
    <w:rsid w:val="00693E11"/>
    <w:rsid w:val="006F14A4"/>
    <w:rsid w:val="006F4ADD"/>
    <w:rsid w:val="006F7AD8"/>
    <w:rsid w:val="00742208"/>
    <w:rsid w:val="00744449"/>
    <w:rsid w:val="00755609"/>
    <w:rsid w:val="0079237F"/>
    <w:rsid w:val="007D67AF"/>
    <w:rsid w:val="008113A5"/>
    <w:rsid w:val="00832D24"/>
    <w:rsid w:val="00845C7D"/>
    <w:rsid w:val="00884F37"/>
    <w:rsid w:val="00901E60"/>
    <w:rsid w:val="009071EB"/>
    <w:rsid w:val="00913C47"/>
    <w:rsid w:val="009511F7"/>
    <w:rsid w:val="009579EA"/>
    <w:rsid w:val="00962EB8"/>
    <w:rsid w:val="00985E1D"/>
    <w:rsid w:val="00992F4D"/>
    <w:rsid w:val="009978D9"/>
    <w:rsid w:val="009C2F35"/>
    <w:rsid w:val="009C4A0D"/>
    <w:rsid w:val="009F49C5"/>
    <w:rsid w:val="00A47BCF"/>
    <w:rsid w:val="00A6371D"/>
    <w:rsid w:val="00AD3EBB"/>
    <w:rsid w:val="00AF327C"/>
    <w:rsid w:val="00B21F63"/>
    <w:rsid w:val="00B33DCB"/>
    <w:rsid w:val="00B350F3"/>
    <w:rsid w:val="00BA5DB5"/>
    <w:rsid w:val="00BD3374"/>
    <w:rsid w:val="00BF1CD1"/>
    <w:rsid w:val="00C1680F"/>
    <w:rsid w:val="00C35B2E"/>
    <w:rsid w:val="00C76FF2"/>
    <w:rsid w:val="00C83AB7"/>
    <w:rsid w:val="00C91428"/>
    <w:rsid w:val="00CE2E88"/>
    <w:rsid w:val="00CF1667"/>
    <w:rsid w:val="00D06B87"/>
    <w:rsid w:val="00D33524"/>
    <w:rsid w:val="00D35869"/>
    <w:rsid w:val="00D471E6"/>
    <w:rsid w:val="00D55396"/>
    <w:rsid w:val="00D61628"/>
    <w:rsid w:val="00E57C66"/>
    <w:rsid w:val="00E71775"/>
    <w:rsid w:val="00EA15C4"/>
    <w:rsid w:val="00F0689E"/>
    <w:rsid w:val="00F44E53"/>
    <w:rsid w:val="00F5136B"/>
    <w:rsid w:val="00F55788"/>
    <w:rsid w:val="00F8248C"/>
    <w:rsid w:val="00F8739C"/>
    <w:rsid w:val="00F9127A"/>
    <w:rsid w:val="00F922E9"/>
    <w:rsid w:val="00FA5995"/>
    <w:rsid w:val="00FD34ED"/>
    <w:rsid w:val="00FD5B6B"/>
    <w:rsid w:val="00FE3E32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E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A645-004A-41C8-99E2-E8F26681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2019-10-17T12:31:00Z</dcterms:created>
  <dcterms:modified xsi:type="dcterms:W3CDTF">2019-10-17T12:31:00Z</dcterms:modified>
</cp:coreProperties>
</file>