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>
        <w:rPr>
          <w:b/>
          <w:sz w:val="28"/>
        </w:rPr>
        <w:t>ОБУЧАЮЩИХСЯ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b/>
          <w:sz w:val="36"/>
        </w:rPr>
      </w:pPr>
      <w:r>
        <w:rPr>
          <w:b/>
          <w:sz w:val="36"/>
        </w:rPr>
        <w:t>НЕВРОЛОГИЯ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31.08.48 </w:t>
      </w:r>
      <w:r>
        <w:rPr>
          <w:sz w:val="28"/>
        </w:rPr>
        <w:t>Нейроэндокринология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color w:val="000000"/>
          <w:sz w:val="24"/>
          <w:szCs w:val="24"/>
        </w:rPr>
        <w:t xml:space="preserve">31.08.48 </w:t>
      </w:r>
      <w:r>
        <w:rPr>
          <w:i/>
          <w:color w:val="000000"/>
          <w:sz w:val="24"/>
          <w:szCs w:val="24"/>
          <w:lang w:val="en-US"/>
        </w:rPr>
        <w:t>Неврология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</w:p>
    <w:p>
      <w:pPr>
        <w:pStyle w:val="style0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  от «22» июня</w:t>
      </w:r>
      <w:r>
        <w:rPr>
          <w:color w:val="000000"/>
          <w:sz w:val="24"/>
          <w:szCs w:val="24"/>
        </w:rPr>
        <w:t xml:space="preserve"> 2018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br w:type="page"/>
      </w: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 Пояснительная записка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</w:t>
      </w:r>
      <w:r>
        <w:rPr>
          <w:sz w:val="28"/>
        </w:rPr>
        <w:t>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</w:t>
      </w:r>
      <w:r>
        <w:rPr>
          <w:sz w:val="28"/>
        </w:rPr>
        <w:t xml:space="preserve">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аудиторных и внеаудиторных занятий и работ, обеспечивающих у</w:t>
      </w:r>
      <w:r>
        <w:rPr>
          <w:sz w:val="28"/>
        </w:rPr>
        <w:t>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</w:t>
      </w:r>
      <w:r>
        <w:rPr>
          <w:sz w:val="28"/>
        </w:rPr>
        <w:t xml:space="preserve">ческое занятие).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>Целью самостоятельной работы является закрепление и систематизация знаний по факторам риска, этиологии, патогенезу, клинике, диагностике, лечению и профилактике основных не</w:t>
      </w:r>
      <w:r>
        <w:rPr>
          <w:i/>
          <w:sz w:val="28"/>
        </w:rPr>
        <w:t>йроэндокринны</w:t>
      </w:r>
      <w:r>
        <w:rPr>
          <w:i/>
          <w:sz w:val="28"/>
        </w:rPr>
        <w:t>х заболеваний, формирование практических навыков по ди</w:t>
      </w:r>
      <w:r>
        <w:rPr>
          <w:i/>
          <w:sz w:val="28"/>
        </w:rPr>
        <w:t>агностике, дифференциальной диагностике, применению методов лечения и профилактики у пациентов с патологией нервной системы в соответствии с клиническим рекомендациями (протоколами ведения), стандартами и порядками оказания неврологической медицинской помо</w:t>
      </w:r>
      <w:r>
        <w:rPr>
          <w:i/>
          <w:sz w:val="28"/>
        </w:rPr>
        <w:t>щи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</w:t>
      </w:r>
      <w:r>
        <w:rPr>
          <w:sz w:val="28"/>
        </w:rPr>
        <w:t>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>
      <w:pPr>
        <w:pStyle w:val="style0"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</w:t>
      </w:r>
      <w:r>
        <w:rPr>
          <w:sz w:val="28"/>
        </w:rPr>
        <w:t xml:space="preserve">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840"/>
        <w:gridCol w:w="2026"/>
        <w:gridCol w:w="1790"/>
      </w:tblGrid>
      <w:tr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самостоятельной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самостоятельной работы</w:t>
            </w:r>
          </w:p>
          <w:p>
            <w:pPr>
              <w:pStyle w:val="style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 соответствии с разделом 4 РП)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контактной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при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проведении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текущего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1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2</w:t>
            </w: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3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4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5</w:t>
            </w:r>
          </w:p>
        </w:tc>
      </w:tr>
      <w:tr>
        <w:tblPrEx/>
        <w:trPr/>
        <w:tc>
          <w:tcPr>
            <w:tcW w:w="10195" w:type="dxa"/>
            <w:gridSpan w:val="5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>
            <w:pPr>
              <w:pStyle w:val="style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дисциплины «Неврология»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"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Диабетическая энцефалопатия и миелопатия. Диабетическая нейропатия, полинейропатия, нейромиалгии, нейропатическая боль. Расстройства сознания при нарушении углеводного обмена. Комы. Диабетическая эпилепсия. Нейрогенные гипер- и гипогликемии.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  <w:r>
              <w:rPr>
                <w:sz w:val="28"/>
                <w:szCs w:val="28"/>
              </w:rPr>
              <w:t>: работа с конспектом лекции; работа над учебным материалом (основной и дополн</w:t>
            </w:r>
            <w:r>
              <w:rPr>
                <w:sz w:val="28"/>
                <w:szCs w:val="28"/>
              </w:rPr>
              <w:t>ительной литературы, ресурсов Интернет); ознакомление с клиническими рекомендациями, порядками и стандартами оказания медицинской помощи; подготовка рефератов.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sz w:val="28"/>
                <w:szCs w:val="28"/>
              </w:rPr>
              <w:t>: решение ситуационных задач.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реферат; решение ситуационных</w:t>
            </w:r>
            <w:r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- на практических занятиях;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КСР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"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Врожденные и наследственные эндокринопатии. Нервно-мышечные синдромы при эндокринных заболеваниях. Неврологические проявления при феохромоцитоме. Роль эндокринопатий в развитии демиелинизирующих заболеваний нервной системы.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  <w:r>
              <w:rPr>
                <w:sz w:val="28"/>
                <w:szCs w:val="28"/>
              </w:rPr>
              <w:t xml:space="preserve">: работа с конспектом </w:t>
            </w:r>
            <w:r>
              <w:rPr>
                <w:sz w:val="28"/>
                <w:szCs w:val="28"/>
              </w:rPr>
              <w:t>лекции; работа над учебным материалом (основной и дополнительной литературы, ресурсов Интернет); ознакомление с клиническими рекомендациями, порядками и стандартами оказания медицинской помощи; подготовка рефератов.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sz w:val="28"/>
                <w:szCs w:val="28"/>
              </w:rPr>
              <w:t>: решение ситуаци</w:t>
            </w:r>
            <w:r>
              <w:rPr>
                <w:sz w:val="28"/>
                <w:szCs w:val="28"/>
              </w:rPr>
              <w:t>онных задач.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реферат;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- на практических занятиях;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КСР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"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еврологические синдромы при заболеваниях гипофиза (акромегалии,</w:t>
            </w:r>
            <w:r>
              <w:rPr>
                <w:sz w:val="28"/>
                <w:szCs w:val="28"/>
              </w:rPr>
              <w:t>гипофизарном нанизме,</w:t>
            </w:r>
            <w:r>
              <w:rPr>
                <w:sz w:val="28"/>
                <w:szCs w:val="28"/>
              </w:rPr>
              <w:t xml:space="preserve"> гипопитуитаризме, </w:t>
            </w:r>
            <w:r>
              <w:rPr>
                <w:sz w:val="28"/>
                <w:szCs w:val="28"/>
              </w:rPr>
              <w:t xml:space="preserve">гиперпролактинемии, </w:t>
            </w:r>
            <w:r>
              <w:rPr>
                <w:sz w:val="28"/>
                <w:szCs w:val="28"/>
              </w:rPr>
              <w:t>синдроме неадекватной секреции АДГ) и щитовидной железы (тиреотоксикозе, гипотиреозе),диагностика,осложнения лечение.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  <w:r>
              <w:rPr>
                <w:sz w:val="28"/>
                <w:szCs w:val="28"/>
              </w:rPr>
              <w:t xml:space="preserve">: работа с конспектом лекции; работа над учебным материалом (основной и дополнительной литературы, ресурсов Интернет); </w:t>
            </w:r>
            <w:r>
              <w:rPr>
                <w:sz w:val="28"/>
                <w:szCs w:val="28"/>
              </w:rPr>
              <w:t>ознакомление с клиническими рекомендациями, порядками и стандартами оказания медицинской помощи; подготовка рефератов.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sz w:val="28"/>
                <w:szCs w:val="28"/>
              </w:rPr>
              <w:t>: решение ситуационных задач.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реферат; решение ситуационных задач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- на практических занят</w:t>
            </w:r>
            <w:r>
              <w:rPr>
                <w:sz w:val="28"/>
                <w:szCs w:val="28"/>
              </w:rPr>
              <w:t>иях;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КСР</w:t>
            </w:r>
          </w:p>
        </w:tc>
      </w:tr>
    </w:tbl>
    <w:p>
      <w:pPr>
        <w:pStyle w:val="style0"/>
        <w:ind w:firstLine="709"/>
        <w:jc w:val="both"/>
        <w:rPr>
          <w:sz w:val="28"/>
          <w:highlight w:val="yellow"/>
        </w:rPr>
      </w:pPr>
    </w:p>
    <w:p>
      <w:pPr>
        <w:pStyle w:val="style0"/>
        <w:ind w:firstLine="709"/>
        <w:jc w:val="both"/>
        <w:rPr>
          <w:sz w:val="28"/>
          <w:vertAlign w:val="superscript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</w:t>
      </w:r>
      <w:r>
        <w:rPr>
          <w:color w:val="000000"/>
          <w:sz w:val="28"/>
          <w:szCs w:val="28"/>
        </w:rPr>
        <w:t>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</w:t>
      </w:r>
      <w:r>
        <w:rPr>
          <w:color w:val="000000"/>
          <w:sz w:val="28"/>
          <w:szCs w:val="28"/>
        </w:rPr>
        <w:t xml:space="preserve">ющие задачи: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</w:t>
      </w:r>
      <w:r>
        <w:rPr>
          <w:color w:val="000000"/>
          <w:sz w:val="28"/>
          <w:szCs w:val="28"/>
        </w:rPr>
        <w:t>ать еще раз;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- сделать выписки;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1026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27.0pt;margin-top:12.85pt;width:14.15pt;height:14.15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027" name="Равнобедренный тре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27" type="#_x0000_t5" adj="10800," fillcolor="white" style="position:absolute;margin-left:27.0pt;margin-top:3.25pt;width:14.15pt;height:14.1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</w:t>
      </w:r>
      <w:r>
        <w:rPr>
          <w:color w:val="000000"/>
          <w:sz w:val="28"/>
          <w:szCs w:val="28"/>
        </w:rPr>
        <w:t>рые можно легко и быстро соединить и разъединить.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</w:t>
      </w:r>
      <w:r>
        <w:rPr>
          <w:color w:val="000000"/>
          <w:spacing w:val="-2"/>
          <w:sz w:val="28"/>
          <w:szCs w:val="28"/>
        </w:rPr>
        <w:t>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Запись лекций ведется на пра</w:t>
      </w:r>
      <w:r>
        <w:rPr>
          <w:color w:val="000000"/>
          <w:sz w:val="28"/>
          <w:szCs w:val="28"/>
        </w:rPr>
        <w:t>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</w:t>
      </w:r>
      <w:r>
        <w:rPr>
          <w:color w:val="000000"/>
          <w:sz w:val="28"/>
          <w:szCs w:val="28"/>
        </w:rPr>
        <w:t xml:space="preserve">кст.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</w:t>
      </w:r>
      <w:r>
        <w:rPr>
          <w:color w:val="000000"/>
          <w:sz w:val="28"/>
          <w:szCs w:val="28"/>
        </w:rPr>
        <w:t xml:space="preserve">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Огромную помощь в понимании логики излагаемого материала о</w:t>
      </w:r>
      <w:r>
        <w:rPr>
          <w:color w:val="000000"/>
          <w:sz w:val="28"/>
          <w:szCs w:val="28"/>
        </w:rPr>
        <w:t>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</w:t>
      </w:r>
      <w:r>
        <w:rPr>
          <w:color w:val="000000"/>
          <w:sz w:val="28"/>
          <w:szCs w:val="28"/>
        </w:rPr>
        <w:t xml:space="preserve">ы своим знаком (цифрой, буквой) и отделены от других.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</w:t>
      </w:r>
      <w:r>
        <w:rPr>
          <w:color w:val="000000"/>
          <w:spacing w:val="-4"/>
          <w:sz w:val="28"/>
          <w:szCs w:val="28"/>
        </w:rPr>
        <w:t>одный текст по формуле «конспект+память=исходный текст</w:t>
      </w:r>
      <w:r>
        <w:rPr>
          <w:color w:val="000000"/>
          <w:sz w:val="28"/>
          <w:szCs w:val="28"/>
        </w:rPr>
        <w:t>».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</w:t>
      </w:r>
      <w:r>
        <w:rPr>
          <w:color w:val="000000"/>
          <w:sz w:val="28"/>
          <w:szCs w:val="28"/>
        </w:rPr>
        <w:t xml:space="preserve">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</w:t>
      </w:r>
      <w:r>
        <w:rPr>
          <w:color w:val="000000"/>
          <w:sz w:val="28"/>
          <w:szCs w:val="28"/>
        </w:rPr>
        <w:t>альной материал. Очень важно выделить и четко зафиксировать эти идеи.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 каждого слушателя и</w:t>
      </w:r>
      <w:r>
        <w:rPr>
          <w:color w:val="000000"/>
          <w:sz w:val="28"/>
          <w:szCs w:val="28"/>
        </w:rPr>
        <w:t xml:space="preserve">меется своя система скорописи, которая основывается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</w:t>
      </w:r>
      <w:r>
        <w:rPr>
          <w:color w:val="000000"/>
          <w:sz w:val="28"/>
          <w:szCs w:val="28"/>
        </w:rPr>
        <w:t>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Пониманию материала и быстрому н</w:t>
      </w:r>
      <w:r>
        <w:rPr>
          <w:color w:val="000000"/>
          <w:sz w:val="28"/>
          <w:szCs w:val="28"/>
        </w:rPr>
        <w:t>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</w:t>
      </w:r>
      <w:r>
        <w:rPr>
          <w:color w:val="000000"/>
          <w:sz w:val="28"/>
          <w:szCs w:val="28"/>
        </w:rPr>
        <w:t xml:space="preserve">и обозначают ключевые аспекты лекций.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</w:t>
      </w:r>
      <w:r>
        <w:rPr>
          <w:color w:val="000000"/>
          <w:spacing w:val="-2"/>
          <w:sz w:val="28"/>
          <w:szCs w:val="28"/>
        </w:rPr>
        <w:t>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</w:t>
      </w:r>
      <w:r>
        <w:rPr>
          <w:color w:val="000000"/>
          <w:spacing w:val="-4"/>
          <w:sz w:val="28"/>
          <w:szCs w:val="28"/>
        </w:rPr>
        <w:t>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</w:t>
      </w:r>
      <w:r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>
      <w:pPr>
        <w:pStyle w:val="style0"/>
        <w:ind w:firstLine="709"/>
        <w:jc w:val="center"/>
        <w:rPr>
          <w:b/>
          <w:sz w:val="28"/>
        </w:rPr>
      </w:pPr>
    </w:p>
    <w:p>
      <w:pPr>
        <w:pStyle w:val="style0"/>
        <w:ind w:firstLine="709"/>
        <w:jc w:val="center"/>
        <w:rPr/>
      </w:pPr>
      <w:r>
        <w:rPr>
          <w:b/>
          <w:sz w:val="28"/>
        </w:rPr>
        <w:t>Тестирование</w:t>
      </w:r>
      <w:r>
        <w:rPr>
          <w:sz w:val="28"/>
        </w:rPr>
        <w:t>.</w:t>
      </w:r>
    </w:p>
    <w:p>
      <w:pPr>
        <w:pStyle w:val="style0"/>
        <w:ind w:firstLine="709"/>
        <w:jc w:val="both"/>
        <w:rPr/>
      </w:pPr>
      <w:r>
        <w:rPr>
          <w:sz w:val="28"/>
        </w:rPr>
        <w:t>Тесты составлены с учетом национальных клинических рекомендаций по каждой теме дисциплины. Цель тестов: проверка усвоения теоретического материала дисциплины (содержания и объема о</w:t>
      </w:r>
      <w:r>
        <w:rPr>
          <w:sz w:val="28"/>
        </w:rPr>
        <w:t xml:space="preserve">бщих и специальных понятий, терминологии, факторов и механизмов), а также развития учебных умений и навыков. </w:t>
      </w:r>
    </w:p>
    <w:p>
      <w:pPr>
        <w:pStyle w:val="style0"/>
        <w:ind w:firstLine="709"/>
        <w:jc w:val="both"/>
        <w:rPr/>
      </w:pPr>
      <w:r>
        <w:rPr>
          <w:sz w:val="28"/>
        </w:rPr>
        <w:t>Тесты составлены из следующих форм тестовых заданий:</w:t>
      </w:r>
    </w:p>
    <w:p>
      <w:pPr>
        <w:pStyle w:val="style0"/>
        <w:ind w:firstLine="709"/>
        <w:jc w:val="both"/>
        <w:rPr/>
      </w:pPr>
      <w:r>
        <w:rPr>
          <w:sz w:val="28"/>
        </w:rPr>
        <w:t>1. Закрытые задания с выбором одного правильного ответа (один вопрос и четыре варианта ответо</w:t>
      </w:r>
      <w:r>
        <w:rPr>
          <w:sz w:val="28"/>
        </w:rPr>
        <w:t>в, из которых необходимо выбрать один). Цель – проверка знаний фактического материала.</w:t>
      </w:r>
    </w:p>
    <w:p>
      <w:pPr>
        <w:pStyle w:val="style0"/>
        <w:ind w:firstLine="709"/>
        <w:jc w:val="both"/>
        <w:rPr/>
      </w:pPr>
      <w:r>
        <w:rPr>
          <w:sz w:val="28"/>
        </w:rPr>
        <w:t>2. Закрытые задания с выбором всех правильных ответов (предлагается несколько вариантов ответа, в числе которых может быть несколько правильных). Ординатор должен выбрат</w:t>
      </w:r>
      <w:r>
        <w:rPr>
          <w:sz w:val="28"/>
        </w:rPr>
        <w:t>ь все правильные ответы.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 в Фонде оценочных средств для проведения текущего контроля успеваемости и промежуточной аттестации обучающихся. Тестовое задание содержит 20 вопросов,</w:t>
      </w:r>
      <w:r>
        <w:rPr>
          <w:sz w:val="28"/>
        </w:rPr>
        <w:t xml:space="preserve"> критерием успешной сдачи теста является количество правильных ответов не менее 13 (65%). На выполнение всего теста дается строго определенное время: на решение индивидуального теста, состоящего из 20 заданий отводится не более 20 мин.</w:t>
      </w:r>
      <w:r>
        <w:t xml:space="preserve"> </w:t>
      </w:r>
      <w:r>
        <w:rPr>
          <w:sz w:val="28"/>
        </w:rPr>
        <w:t>После проверки теста</w:t>
      </w:r>
      <w:r>
        <w:rPr>
          <w:sz w:val="28"/>
        </w:rPr>
        <w:t xml:space="preserve"> оглашается результат тестирования. Если тест не зачтен, то обучающийся должен заново повторить тему дисциплины. После этого преподаватель проверяет понимание и усвоение материала, предлагая ординатору найти ошибки в ответах. Если все ошибки будут найдены </w:t>
      </w:r>
      <w:r>
        <w:rPr>
          <w:sz w:val="28"/>
        </w:rPr>
        <w:t>и исправлены, то выставляется оценка «зачтено».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практическим занятиям</w:t>
      </w:r>
    </w:p>
    <w:p>
      <w:pPr>
        <w:pStyle w:val="style0"/>
        <w:ind w:firstLine="709"/>
        <w:jc w:val="both"/>
        <w:rPr>
          <w:sz w:val="8"/>
          <w:szCs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</w:t>
      </w:r>
      <w:r>
        <w:rPr>
          <w:i/>
          <w:sz w:val="28"/>
        </w:rPr>
        <w:t xml:space="preserve"> использоватьклассическую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логической последовательн</w:t>
      </w:r>
      <w:r>
        <w:rPr>
          <w:sz w:val="28"/>
        </w:rPr>
        <w:t xml:space="preserve">ости.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>
      <w:pPr>
        <w:pStyle w:val="style0"/>
        <w:ind w:firstLine="709"/>
        <w:jc w:val="center"/>
        <w:rPr>
          <w:sz w:val="28"/>
        </w:rPr>
      </w:pPr>
      <w:r>
        <w:rPr>
          <w:i/>
          <w:sz w:val="28"/>
        </w:rPr>
        <w:t xml:space="preserve">Рекомендации </w:t>
      </w:r>
      <w:r>
        <w:rPr>
          <w:i/>
          <w:sz w:val="28"/>
        </w:rPr>
        <w:t>по построению композиции устного ответа: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установить контакт с</w:t>
      </w:r>
      <w:r>
        <w:rPr>
          <w:sz w:val="28"/>
        </w:rPr>
        <w:t>о слушателями путем указания на общие взгляды, прежний опыт.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</w:t>
      </w:r>
      <w:r>
        <w:rPr>
          <w:sz w:val="28"/>
        </w:rPr>
        <w:t>ё решения.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</w:t>
      </w:r>
      <w:r>
        <w:rPr>
          <w:sz w:val="28"/>
        </w:rPr>
        <w:t>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обосновать, ка</w:t>
      </w:r>
      <w:r>
        <w:rPr>
          <w:sz w:val="28"/>
        </w:rPr>
        <w:t xml:space="preserve">ковы последствия в случае отказа от вашего подхода к решению проблемы. 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>
      <w:pPr>
        <w:pStyle w:val="style66"/>
        <w:tabs>
          <w:tab w:val="left" w:leader="none" w:pos="55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</w:t>
      </w:r>
      <w:r>
        <w:rPr>
          <w:sz w:val="28"/>
          <w:szCs w:val="22"/>
        </w:rPr>
        <w:t>асти, выделяйте главные мысли, выводы.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>
      <w:pPr>
        <w:pStyle w:val="style66"/>
        <w:tabs>
          <w:tab w:val="left" w:leader="none" w:pos="549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Наиболее существенные аспекты изучаемого </w:t>
      </w:r>
      <w:r>
        <w:rPr>
          <w:sz w:val="28"/>
          <w:szCs w:val="22"/>
        </w:rPr>
        <w:t>материала (тезисы) последовательно и кратко излагайте своими словами или приводите в виде цитат.</w:t>
      </w:r>
    </w:p>
    <w:p>
      <w:pPr>
        <w:pStyle w:val="style66"/>
        <w:tabs>
          <w:tab w:val="left" w:leader="none" w:pos="558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</w:t>
      </w:r>
      <w:r>
        <w:rPr>
          <w:sz w:val="28"/>
          <w:szCs w:val="22"/>
        </w:rPr>
        <w:t xml:space="preserve">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>
      <w:pPr>
        <w:pStyle w:val="style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</w:t>
      </w:r>
      <w:r>
        <w:rPr>
          <w:sz w:val="28"/>
          <w:szCs w:val="22"/>
        </w:rPr>
        <w:t>мых мест</w:t>
      </w:r>
    </w:p>
    <w:p>
      <w:pPr>
        <w:pStyle w:val="style0"/>
        <w:ind w:firstLine="709"/>
        <w:jc w:val="center"/>
        <w:rPr>
          <w:b/>
          <w:bCs/>
          <w:sz w:val="28"/>
          <w:szCs w:val="28"/>
        </w:rPr>
      </w:pPr>
    </w:p>
    <w:p>
      <w:pPr>
        <w:pStyle w:val="style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</w:t>
      </w:r>
      <w:r>
        <w:rPr>
          <w:sz w:val="28"/>
          <w:szCs w:val="28"/>
        </w:rPr>
        <w:t>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>
      <w:pPr>
        <w:pStyle w:val="style67"/>
        <w:spacing w:after="0"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факультета и кафедры, на которой</w:t>
      </w:r>
      <w:r>
        <w:rPr>
          <w:sz w:val="28"/>
          <w:szCs w:val="28"/>
        </w:rPr>
        <w:t xml:space="preserve"> выполняется данная работа, название реферата, фамилию и группу выполнившего, фамилию и ученую степень проверяющего. 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</w:t>
      </w:r>
      <w:r>
        <w:rPr>
          <w:sz w:val="28"/>
          <w:szCs w:val="28"/>
        </w:rPr>
        <w:t>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</w:t>
      </w:r>
      <w:r>
        <w:rPr>
          <w:sz w:val="28"/>
          <w:szCs w:val="28"/>
        </w:rPr>
        <w:t>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</w:t>
      </w:r>
      <w:r>
        <w:rPr>
          <w:sz w:val="28"/>
          <w:szCs w:val="28"/>
        </w:rPr>
        <w:t>редложений;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</w:t>
      </w:r>
      <w:r>
        <w:rPr>
          <w:sz w:val="28"/>
          <w:szCs w:val="28"/>
        </w:rPr>
        <w:t>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</w:t>
      </w:r>
      <w:r>
        <w:rPr>
          <w:sz w:val="28"/>
          <w:szCs w:val="28"/>
        </w:rPr>
        <w:t>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«TimesNewRoman» 14 пт, межстрочный интервал, поля: правое — 10 мм; верхнее, левое и нижнее — 20 м</w:t>
      </w:r>
      <w:r>
        <w:rPr>
          <w:sz w:val="28"/>
          <w:szCs w:val="28"/>
        </w:rPr>
        <w:t>м. Нумерация страниц должна быть сквозной, начиная с титульного листа (на титульном листе номер не ставится).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Критерии оценивания выполненных заданий представлен</w:t>
      </w:r>
      <w:r>
        <w:rPr>
          <w:sz w:val="28"/>
        </w:rPr>
        <w:t xml:space="preserve">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</w:t>
      </w:r>
      <w:r>
        <w:rPr>
          <w:sz w:val="28"/>
        </w:rPr>
        <w:t>ме Университета.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68CF8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12FCBA0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4">
    <w:nsid w:val="00000004"/>
    <w:multiLevelType w:val="multilevel"/>
    <w:tmpl w:val="B0F0968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F57652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725801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3F003D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592C4F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419EA1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widowControl w:val="false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spacing w:before="240" w:after="60" w:lineRule="auto" w:line="276"/>
      <w:outlineLvl w:val="2"/>
    </w:pPr>
    <w:rPr>
      <w:rFonts w:ascii="Arial" w:cs="Arial" w:hAnsi="Arial"/>
      <w:b/>
      <w:bCs/>
      <w:sz w:val="26"/>
      <w:szCs w:val="26"/>
      <w:lang w:eastAsia="en-US"/>
    </w:rPr>
  </w:style>
  <w:style w:type="paragraph" w:styleId="style4">
    <w:name w:val="heading 4"/>
    <w:basedOn w:val="style0"/>
    <w:next w:val="style0"/>
    <w:link w:val="style4106"/>
    <w:qFormat/>
    <w:uiPriority w:val="9"/>
    <w:pPr>
      <w:keepNext/>
      <w:spacing w:before="240" w:after="60"/>
      <w:outlineLvl w:val="3"/>
    </w:pPr>
    <w:rPr>
      <w:rFonts w:ascii="Calibri" w:cs="SimSun" w:eastAsia="SimSun" w:hAnsi="Calibri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6">
    <w:name w:val="Body Text"/>
    <w:basedOn w:val="style0"/>
    <w:next w:val="style66"/>
    <w:link w:val="style4097"/>
    <w:pPr>
      <w:spacing w:after="120"/>
    </w:pPr>
    <w:rPr>
      <w:sz w:val="24"/>
    </w:rPr>
  </w:style>
  <w:style w:type="character" w:customStyle="1" w:styleId="style4097">
    <w:name w:val="Основной текст Знак"/>
    <w:next w:val="style4097"/>
    <w:link w:val="style66"/>
    <w:rPr>
      <w:sz w:val="24"/>
    </w:rPr>
  </w:style>
  <w:style w:type="paragraph" w:styleId="style67">
    <w:name w:val="Body Text Indent"/>
    <w:basedOn w:val="style0"/>
    <w:next w:val="style67"/>
    <w:link w:val="style4098"/>
    <w:uiPriority w:val="99"/>
    <w:pPr>
      <w:spacing w:after="120"/>
      <w:ind w:left="283"/>
    </w:pPr>
    <w:rPr/>
  </w:style>
  <w:style w:type="character" w:customStyle="1" w:styleId="style4098">
    <w:name w:val="Основной текст с отступом Знак"/>
    <w:basedOn w:val="style65"/>
    <w:next w:val="style4098"/>
    <w:link w:val="style67"/>
    <w:uiPriority w:val="99"/>
  </w:style>
  <w:style w:type="paragraph" w:customStyle="1" w:styleId="style4099">
    <w:name w:val="Знак Знак Знак Знак"/>
    <w:basedOn w:val="style0"/>
    <w:next w:val="style4099"/>
    <w:pPr>
      <w:spacing w:before="100" w:beforeAutospacing="true" w:after="100" w:afterAutospacing="true"/>
    </w:pPr>
    <w:rPr>
      <w:rFonts w:ascii="Tahoma" w:hAnsi="Tahoma"/>
      <w:lang w:val="en-US" w:eastAsia="en-US"/>
    </w:rPr>
  </w:style>
  <w:style w:type="character" w:customStyle="1" w:styleId="style4100">
    <w:name w:val="Заголовок 1 Знак"/>
    <w:next w:val="style4100"/>
    <w:link w:val="style1"/>
    <w:rPr>
      <w:rFonts w:ascii="Cambria" w:hAnsi="Cambria"/>
      <w:b/>
      <w:kern w:val="32"/>
      <w:sz w:val="32"/>
    </w:rPr>
  </w:style>
  <w:style w:type="character" w:customStyle="1" w:styleId="style4101">
    <w:name w:val="Заголовок 3 Знак"/>
    <w:next w:val="style4101"/>
    <w:link w:val="style3"/>
    <w:rPr>
      <w:rFonts w:ascii="Arial" w:cs="Arial" w:hAnsi="Arial"/>
      <w:b/>
      <w:bCs/>
      <w:sz w:val="26"/>
      <w:szCs w:val="26"/>
      <w:lang w:eastAsia="en-US"/>
    </w:rPr>
  </w:style>
  <w:style w:type="paragraph" w:styleId="style94">
    <w:name w:val="Normal (Web)"/>
    <w:basedOn w:val="style0"/>
    <w:next w:val="style94"/>
    <w:qFormat/>
    <w:uiPriority w:val="34"/>
    <w:pPr>
      <w:tabs>
        <w:tab w:val="left" w:leader="none" w:pos="720"/>
      </w:tabs>
      <w:spacing w:before="100" w:beforeAutospacing="true" w:after="100" w:afterAutospacing="true"/>
      <w:ind w:left="720" w:hanging="36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>
      <w:sz w:val="24"/>
      <w:szCs w:val="24"/>
    </w:rPr>
  </w:style>
  <w:style w:type="character" w:customStyle="1" w:styleId="style4102">
    <w:name w:val="apple-converted-space"/>
    <w:next w:val="style4102"/>
  </w:style>
  <w:style w:type="character" w:customStyle="1" w:styleId="style4103">
    <w:name w:val="mw-headline"/>
    <w:next w:val="style4103"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4">
    <w:name w:val="Верхний колонтитул Знак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5">
    <w:name w:val="Нижний колонтитул Знак"/>
    <w:basedOn w:val="style65"/>
    <w:next w:val="style4105"/>
    <w:link w:val="style32"/>
    <w:uiPriority w:val="99"/>
  </w:style>
  <w:style w:type="character" w:customStyle="1" w:styleId="style4106">
    <w:name w:val="Заголовок 4 Знак"/>
    <w:basedOn w:val="style65"/>
    <w:next w:val="style4106"/>
    <w:link w:val="style4"/>
    <w:uiPriority w:val="9"/>
    <w:rPr>
      <w:rFonts w:ascii="Calibri" w:cs="SimSun" w:eastAsia="SimSun" w:hAnsi="Calibri"/>
      <w:b/>
      <w:bCs/>
      <w:sz w:val="28"/>
      <w:szCs w:val="28"/>
    </w:rPr>
  </w:style>
  <w:style w:type="character" w:styleId="style85">
    <w:name w:val="Hyperlink"/>
    <w:basedOn w:val="style65"/>
    <w:next w:val="style85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2226</Words>
  <Pages>9</Pages>
  <Characters>16025</Characters>
  <Application>WPS Office</Application>
  <DocSecurity>0</DocSecurity>
  <Paragraphs>231</Paragraphs>
  <ScaleCrop>false</ScaleCrop>
  <Company>Microsoft Corporation</Company>
  <LinksUpToDate>false</LinksUpToDate>
  <CharactersWithSpaces>18160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2019-04-10T02:28:40Z</dcterms:created>
  <dc:creator>Microsoft Office</dc:creator>
  <lastModifiedBy>Lenovo TAB 2 A10-70L</lastModifiedBy>
  <dcterms:modified xsi:type="dcterms:W3CDTF">2019-04-10T02:28:41Z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