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F12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</w:t>
      </w: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</w:t>
      </w:r>
    </w:p>
    <w:p w14:paraId="415EB02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8987E1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D2B165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90518D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5E48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C66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838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2F0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267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3A8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BC20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F41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876F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7EB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989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2B47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201C4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38A691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2FEE4344" w14:textId="3C581E1C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E724B7">
        <w:rPr>
          <w:rFonts w:ascii="Times New Roman" w:hAnsi="Times New Roman"/>
          <w:b/>
          <w:sz w:val="28"/>
          <w:szCs w:val="28"/>
        </w:rPr>
        <w:t xml:space="preserve"> «</w:t>
      </w:r>
      <w:r w:rsidR="00FB1A24">
        <w:rPr>
          <w:rFonts w:ascii="Times New Roman" w:hAnsi="Times New Roman"/>
          <w:b/>
          <w:sz w:val="28"/>
          <w:szCs w:val="28"/>
        </w:rPr>
        <w:t>НА</w:t>
      </w:r>
      <w:r w:rsidR="00775690">
        <w:rPr>
          <w:rFonts w:ascii="Times New Roman" w:hAnsi="Times New Roman"/>
          <w:b/>
          <w:sz w:val="28"/>
          <w:szCs w:val="28"/>
        </w:rPr>
        <w:t>РУШЕНИЕ РЕФРАКЦИИ И АККОМОДАЦИИ</w:t>
      </w:r>
      <w:r w:rsidR="00E724B7">
        <w:rPr>
          <w:rFonts w:ascii="Times New Roman" w:hAnsi="Times New Roman"/>
          <w:b/>
          <w:sz w:val="28"/>
          <w:szCs w:val="28"/>
        </w:rPr>
        <w:t>»</w:t>
      </w:r>
    </w:p>
    <w:p w14:paraId="62974C1C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FC827" w14:textId="77777777" w:rsidR="00CF7355" w:rsidRPr="00555F71" w:rsidRDefault="00555F71" w:rsidP="00555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555F71">
        <w:rPr>
          <w:rFonts w:ascii="Times New Roman" w:hAnsi="Times New Roman"/>
          <w:b/>
          <w:sz w:val="28"/>
          <w:szCs w:val="28"/>
        </w:rPr>
        <w:t>«ОФТАЛЬМОЛОГИЯ»</w:t>
      </w:r>
    </w:p>
    <w:p w14:paraId="4CBE754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1A62153" w14:textId="77777777" w:rsidR="00CF7355" w:rsidRPr="00CF7355" w:rsidRDefault="00555F71" w:rsidP="00555F7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31.08.59. «офтальмология»</w:t>
      </w:r>
    </w:p>
    <w:p w14:paraId="1D5942A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45E977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4D2A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1E2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6AAA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9E0D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BCE1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E34C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B89D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3C4F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7F29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3B51F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84DBD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B1F9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75B6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9D103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443715" w14:textId="77777777" w:rsidR="00555F71" w:rsidRPr="00BD661B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1F60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4906E6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9A658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555F71">
        <w:rPr>
          <w:rFonts w:ascii="Times New Roman" w:hAnsi="Times New Roman"/>
          <w:color w:val="000000"/>
          <w:sz w:val="24"/>
          <w:szCs w:val="24"/>
        </w:rPr>
        <w:t>по специальности «офтальмология»</w:t>
      </w:r>
    </w:p>
    <w:p w14:paraId="2C3663FC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14:paraId="3DA686E6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389202E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6B149" w14:textId="7E5F4CBD" w:rsidR="00CF7355" w:rsidRPr="00CF7355" w:rsidRDefault="00F623E9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14:paraId="4E4C1509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7CFDA1A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BEEFD7F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7A7FDA1C" w14:textId="77777777" w:rsidR="00E72595" w:rsidRPr="00321A77" w:rsidRDefault="00E72595" w:rsidP="00555F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DF505F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560E243E" w14:textId="77777777" w:rsidR="00A0745A" w:rsidRDefault="00A0745A" w:rsidP="00BA6F1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66A2FBD" w14:textId="1300E4EF" w:rsidR="003433F0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преподавателей</w:t>
      </w:r>
    </w:p>
    <w:p w14:paraId="21F182BB" w14:textId="23F2E13F" w:rsidR="003433F0" w:rsidRPr="00751009" w:rsidRDefault="00FB1A24" w:rsidP="00751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дисциплина «Нарушения рефракции и аккомодации</w:t>
      </w:r>
      <w:r w:rsidR="00BC429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4930FB0E" w14:textId="77777777" w:rsidR="003433F0" w:rsidRPr="00321A77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71C1EA0" w14:textId="77777777" w:rsidR="003433F0" w:rsidRPr="00321A77" w:rsidRDefault="003433F0" w:rsidP="0075100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CCFD877" w14:textId="329EA649" w:rsidR="003433F0" w:rsidRPr="00C60C01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60C01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FB1A24" w:rsidRPr="00FB1A24">
        <w:rPr>
          <w:rFonts w:ascii="Times New Roman" w:eastAsia="Calibri" w:hAnsi="Times New Roman"/>
          <w:color w:val="000000"/>
          <w:sz w:val="28"/>
          <w:szCs w:val="28"/>
        </w:rPr>
        <w:t>Физическая рефракция, свойства призм, линз, их оптическая сила, понятие о диоптриях.  Клиническая характеристика эмметропии, миопии, гиперметропии, астигматизма.  Рефрактогенез, этиология, патогенез миопии. Диагностика и лечение прогрессирующей миопии традиционными и нетрадиционными методами. Акк</w:t>
      </w:r>
      <w:r w:rsidR="00751009">
        <w:rPr>
          <w:rFonts w:ascii="Times New Roman" w:eastAsia="Calibri" w:hAnsi="Times New Roman"/>
          <w:color w:val="000000"/>
          <w:sz w:val="28"/>
          <w:szCs w:val="28"/>
        </w:rPr>
        <w:t xml:space="preserve">омодация. </w:t>
      </w:r>
    </w:p>
    <w:p w14:paraId="1CAFF5EB" w14:textId="77777777" w:rsidR="003433F0" w:rsidRPr="00321A77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257A040D" w14:textId="57293B98" w:rsidR="003433F0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75690">
        <w:rPr>
          <w:rFonts w:ascii="Times New Roman" w:hAnsi="Times New Roman"/>
          <w:color w:val="000000"/>
          <w:sz w:val="28"/>
          <w:szCs w:val="28"/>
        </w:rPr>
        <w:t>углубить и сформировать знания обучающихся</w:t>
      </w:r>
      <w:r w:rsidR="00FB1A24" w:rsidRPr="00FB1A24">
        <w:rPr>
          <w:rFonts w:ascii="Times New Roman" w:hAnsi="Times New Roman"/>
          <w:color w:val="000000"/>
          <w:sz w:val="28"/>
          <w:szCs w:val="28"/>
        </w:rPr>
        <w:t xml:space="preserve"> по классификации различных видов нарушения рефракции и аккомодации, современным подходам диагностики и принципам лечения при патологии рефракции и аккомодации.</w:t>
      </w:r>
    </w:p>
    <w:p w14:paraId="1C6C89F0" w14:textId="77777777" w:rsidR="003433F0" w:rsidRPr="00321A77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F49056" w14:textId="5711938B" w:rsidR="003433F0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B1A24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57F313AE" w14:textId="2427C275" w:rsidR="003433F0" w:rsidRPr="00F22691" w:rsidRDefault="00775690" w:rsidP="00751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B1A24" w:rsidRPr="00FB1A24">
        <w:rPr>
          <w:rFonts w:ascii="Times New Roman" w:hAnsi="Times New Roman"/>
          <w:color w:val="000000"/>
          <w:sz w:val="28"/>
          <w:szCs w:val="28"/>
        </w:rPr>
        <w:t xml:space="preserve"> лекции рассматриваются вопросы классификации, механизма возникновения, </w:t>
      </w:r>
      <w:r w:rsidR="00751009">
        <w:rPr>
          <w:rFonts w:ascii="Times New Roman" w:hAnsi="Times New Roman"/>
          <w:color w:val="000000"/>
          <w:sz w:val="28"/>
          <w:szCs w:val="28"/>
        </w:rPr>
        <w:t>современных способах</w:t>
      </w:r>
      <w:r w:rsidR="00FB1A24" w:rsidRPr="00FB1A24">
        <w:rPr>
          <w:rFonts w:ascii="Times New Roman" w:hAnsi="Times New Roman"/>
          <w:color w:val="000000"/>
          <w:sz w:val="28"/>
          <w:szCs w:val="28"/>
        </w:rPr>
        <w:t xml:space="preserve"> диагностики и принципах лечения нарушений рефракции и аккомодации. Обсуждаются современные подходы к классификации видов рефракции и возможных вариантах нарушения рефракции и аккомодации. Рассматриваются современные методы диагностики и принципы лечения нарушений рефракции и аккомодации.</w:t>
      </w:r>
    </w:p>
    <w:p w14:paraId="2346D254" w14:textId="77777777" w:rsidR="003433F0" w:rsidRPr="00321A77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FFAB5E" w14:textId="1BAB0A11" w:rsidR="003433F0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60C0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429F" w:rsidRPr="00BC429F">
        <w:rPr>
          <w:rFonts w:ascii="Times New Roman" w:eastAsia="Calibri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обзорная; по содержанию и системе построения – информационная (традиционная).</w:t>
      </w:r>
    </w:p>
    <w:p w14:paraId="615E2098" w14:textId="77777777" w:rsidR="003433F0" w:rsidRPr="00321A77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42B0E92" w14:textId="309C3FC0" w:rsidR="003433F0" w:rsidRPr="00775690" w:rsidRDefault="003433F0" w:rsidP="00775690">
      <w:pPr>
        <w:spacing w:line="360" w:lineRule="auto"/>
        <w:ind w:firstLine="709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BC429F" w:rsidRPr="00BC429F">
        <w:rPr>
          <w:rFonts w:ascii="Times New Roman" w:eastAsia="Calibri" w:hAnsi="Times New Roman"/>
          <w:sz w:val="24"/>
          <w:szCs w:val="24"/>
        </w:rPr>
        <w:t xml:space="preserve">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источнику знаний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>практические, наглядные словесные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; по назначению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приобретение и применение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lastRenderedPageBreak/>
        <w:t xml:space="preserve">знаний;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>по типу познавательной деятельности – объяснительно-иллюстративные, репродуктивные.</w:t>
      </w:r>
    </w:p>
    <w:p w14:paraId="01AA14F6" w14:textId="77777777" w:rsidR="00BC429F" w:rsidRDefault="003433F0" w:rsidP="00751009">
      <w:pPr>
        <w:spacing w:line="36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32A2CE5" w14:textId="56826130" w:rsidR="00BC429F" w:rsidRPr="00BC429F" w:rsidRDefault="00BC429F" w:rsidP="00751009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дидактические</w:t>
      </w:r>
      <w:r w:rsidRPr="00BC429F">
        <w:rPr>
          <w:rFonts w:ascii="Times New Roman" w:hAnsi="Times New Roman"/>
          <w:sz w:val="28"/>
          <w:szCs w:val="28"/>
        </w:rPr>
        <w:t>: таблицы, схемы, раздаточный материал (офтальмо</w:t>
      </w:r>
      <w:r w:rsidR="00775690">
        <w:rPr>
          <w:rFonts w:ascii="Times New Roman" w:hAnsi="Times New Roman"/>
          <w:sz w:val="28"/>
          <w:szCs w:val="28"/>
        </w:rPr>
        <w:t>ло</w:t>
      </w:r>
      <w:r w:rsidRPr="00BC429F">
        <w:rPr>
          <w:rFonts w:ascii="Times New Roman" w:hAnsi="Times New Roman"/>
          <w:sz w:val="28"/>
          <w:szCs w:val="28"/>
        </w:rPr>
        <w:t>гические атласы, альбомы); виртуальные (мультимедийные слайды);</w:t>
      </w:r>
    </w:p>
    <w:p w14:paraId="24091679" w14:textId="77777777" w:rsidR="00BC429F" w:rsidRPr="00BC429F" w:rsidRDefault="00BC429F" w:rsidP="00751009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материально-технические</w:t>
      </w:r>
      <w:r w:rsidRPr="00BC429F">
        <w:rPr>
          <w:rFonts w:ascii="Times New Roman" w:hAnsi="Times New Roman"/>
          <w:sz w:val="28"/>
          <w:szCs w:val="28"/>
        </w:rPr>
        <w:t xml:space="preserve"> (мультимедийная установка).</w:t>
      </w:r>
    </w:p>
    <w:p w14:paraId="52DAA21F" w14:textId="77777777" w:rsidR="003433F0" w:rsidRPr="00321A77" w:rsidRDefault="003433F0" w:rsidP="00751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873F23" w14:textId="77777777" w:rsidR="00775690" w:rsidRDefault="00775690" w:rsidP="0077569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 для преподавателей</w:t>
      </w:r>
    </w:p>
    <w:p w14:paraId="008DD5F2" w14:textId="77777777" w:rsidR="00775690" w:rsidRDefault="00775690" w:rsidP="0077569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55492E" w14:textId="77777777" w:rsidR="00775690" w:rsidRDefault="00775690" w:rsidP="007756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Дисциплина «Нарушение рефракции и аккомодации»</w:t>
      </w:r>
    </w:p>
    <w:p w14:paraId="4EE54041" w14:textId="77777777" w:rsidR="00775690" w:rsidRDefault="00775690" w:rsidP="007756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EDB0C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86489B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D9C35B5" w14:textId="77777777" w:rsidR="00775690" w:rsidRDefault="00775690" w:rsidP="00775690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Физическая и клиническая рефракция. Аккомодация. Механизм аккомодации (теория Гельмгольца и Шахара).</w:t>
      </w:r>
    </w:p>
    <w:p w14:paraId="0CC51A9A" w14:textId="77777777" w:rsidR="00775690" w:rsidRDefault="00775690" w:rsidP="007756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09A421E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E726E8" w14:textId="77777777" w:rsidR="00775690" w:rsidRDefault="00775690" w:rsidP="007756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6CC59FE" w14:textId="77777777" w:rsidR="00775690" w:rsidRDefault="00775690" w:rsidP="0077569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8A51DB2" w14:textId="31701BBB" w:rsidR="00775690" w:rsidRDefault="00775690" w:rsidP="00775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углуби</w:t>
      </w:r>
      <w:r>
        <w:rPr>
          <w:rFonts w:ascii="Times New Roman" w:hAnsi="Times New Roman"/>
          <w:color w:val="000000"/>
          <w:sz w:val="28"/>
          <w:szCs w:val="28"/>
        </w:rPr>
        <w:t>ть и обновить знания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физической и клинической рефракции, аккомодации и механизме аккомодации.</w:t>
      </w:r>
    </w:p>
    <w:p w14:paraId="58220868" w14:textId="2747475B" w:rsidR="00775690" w:rsidRDefault="00775690" w:rsidP="007756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964BC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98A49CC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План проведения учебного занятия</w:t>
      </w:r>
    </w:p>
    <w:p w14:paraId="493E1E94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5690" w14:paraId="7C5DE19E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FD30" w14:textId="77777777" w:rsidR="00775690" w:rsidRDefault="00775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C290A14" w14:textId="77777777" w:rsidR="00775690" w:rsidRDefault="00775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93FA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5690" w14:paraId="42DBF71B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7B8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3A230848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6D019536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1766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7A7C9BB6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196E9878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5690" w14:paraId="7E9FDA57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938A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C89C" w14:textId="7CCC98E4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75690" w14:paraId="67BBD0E3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83B5B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06B8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6C0B9EE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опрос.</w:t>
            </w:r>
          </w:p>
          <w:p w14:paraId="4AA9A751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Вопросы для рассмотрения: </w:t>
            </w:r>
          </w:p>
          <w:p w14:paraId="6984AFAE" w14:textId="77777777" w:rsidR="00775690" w:rsidRDefault="00775690" w:rsidP="0077569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Физическая рефракция.</w:t>
            </w:r>
          </w:p>
          <w:p w14:paraId="22549D93" w14:textId="77777777" w:rsidR="00775690" w:rsidRDefault="00775690" w:rsidP="0077569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Свойства призм, линз, их оптическая сила, понятие о диоптриях.  </w:t>
            </w:r>
          </w:p>
          <w:p w14:paraId="232DD171" w14:textId="77777777" w:rsidR="00775690" w:rsidRDefault="00775690" w:rsidP="0077569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Клиническая рефракция.</w:t>
            </w:r>
          </w:p>
          <w:p w14:paraId="2FC8A901" w14:textId="77777777" w:rsidR="00775690" w:rsidRDefault="00775690" w:rsidP="0077569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Клиническая характеристика эмметропии, миопии, гиперметропии, астигматизма.</w:t>
            </w:r>
          </w:p>
          <w:p w14:paraId="400853BF" w14:textId="77777777" w:rsidR="00775690" w:rsidRDefault="00775690" w:rsidP="0077569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Аккомодация, определение.</w:t>
            </w:r>
          </w:p>
          <w:p w14:paraId="1A818BB3" w14:textId="77777777" w:rsidR="00775690" w:rsidRDefault="00775690" w:rsidP="0077569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Механизм аккомодации (теория Гельмгольца и Шахара).</w:t>
            </w:r>
          </w:p>
          <w:p w14:paraId="76D9062D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14:paraId="7ECED65E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14:paraId="6002D540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5690" w14:paraId="7D18BA1C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9019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DDAF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212A4ACF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849E92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0C429CB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30843A2C" w14:textId="77777777" w:rsidR="00775690" w:rsidRDefault="007756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Основные функции: </w:t>
            </w:r>
          </w:p>
          <w:p w14:paraId="5BB87356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4E2DA3C6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47F0D499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в) совершенствование репродуктивного мышления.</w:t>
            </w:r>
          </w:p>
        </w:tc>
      </w:tr>
    </w:tbl>
    <w:p w14:paraId="38A8BDC8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C857401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C015BD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0EE985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офтальмологические атласы.</w:t>
      </w:r>
    </w:p>
    <w:p w14:paraId="412188CE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53006AEF" w14:textId="5107AD1B" w:rsidR="00775690" w:rsidRDefault="00775690" w:rsidP="00775690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2133834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2: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Диагностика и лечение прогрессирующей миопии традиционными и нетрадиционными методами.</w:t>
      </w:r>
    </w:p>
    <w:p w14:paraId="465FF383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A0DD383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F782A26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2FF5BA50" w14:textId="77777777" w:rsidR="00775690" w:rsidRDefault="00775690" w:rsidP="00775690">
      <w:pPr>
        <w:pStyle w:val="21"/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7ACA1CA1" w14:textId="2BECA97F" w:rsidR="00775690" w:rsidRPr="00775690" w:rsidRDefault="00775690" w:rsidP="00775690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Цель: </w:t>
      </w:r>
      <w:r>
        <w:rPr>
          <w:color w:val="000000"/>
          <w:sz w:val="28"/>
          <w:szCs w:val="28"/>
        </w:rPr>
        <w:t>углубить и обновить знания ординаторов по вопросам диагностики и принципам лечения прогрессирующей миопии.</w:t>
      </w:r>
    </w:p>
    <w:p w14:paraId="36B95383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C593BD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C1C0FA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План проведения учебного занятия</w:t>
      </w:r>
    </w:p>
    <w:p w14:paraId="301538D2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5690" w14:paraId="00EA25A9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AFD3" w14:textId="77777777" w:rsidR="00775690" w:rsidRDefault="00775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4232FBD5" w14:textId="77777777" w:rsidR="00775690" w:rsidRDefault="00775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ED7A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5690" w14:paraId="6F6D3415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AAF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4B108E72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5358CB5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E375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4D19C1F7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7032FEFD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5690" w14:paraId="039C4ECA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F35A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A8ED" w14:textId="75CEE8F2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75690" w14:paraId="221E90A1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41D3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F619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191EAA2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опрос.</w:t>
            </w:r>
          </w:p>
          <w:p w14:paraId="35E3229E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Вопросы для рассмотрения: </w:t>
            </w:r>
          </w:p>
          <w:p w14:paraId="65B3D21A" w14:textId="77777777" w:rsidR="00775690" w:rsidRDefault="00775690" w:rsidP="0077569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Диагностика прогрессирующей миопии.</w:t>
            </w:r>
          </w:p>
          <w:p w14:paraId="3E900CF5" w14:textId="77777777" w:rsidR="00775690" w:rsidRDefault="00775690" w:rsidP="0077569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Субъективные методы исследования миопии.</w:t>
            </w:r>
          </w:p>
          <w:p w14:paraId="374DE0DB" w14:textId="77777777" w:rsidR="00775690" w:rsidRDefault="00775690" w:rsidP="0077569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Объективные методы исследования миопии.</w:t>
            </w:r>
          </w:p>
          <w:p w14:paraId="41B800D5" w14:textId="77777777" w:rsidR="00775690" w:rsidRDefault="00775690" w:rsidP="0077569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Принципы лечения прогрессирующей миопии.</w:t>
            </w:r>
          </w:p>
          <w:p w14:paraId="4B04CBF6" w14:textId="77777777" w:rsidR="00775690" w:rsidRDefault="00775690" w:rsidP="0077569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Традиционные и нетрадиционные методы лечения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прогрессирующей миопии.</w:t>
            </w:r>
          </w:p>
          <w:p w14:paraId="12117B61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материала </w:t>
            </w:r>
          </w:p>
          <w:p w14:paraId="43B6F801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14:paraId="5D5507F1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5690" w14:paraId="18CE03EE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2F6F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589E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71B36E14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B92D673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B39C3E2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121C813B" w14:textId="77777777" w:rsidR="00775690" w:rsidRDefault="007756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Основные функции: </w:t>
            </w:r>
          </w:p>
          <w:p w14:paraId="6A967CE3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A42031B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417DF933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в) совершенствование репродуктивного мышления.</w:t>
            </w:r>
          </w:p>
        </w:tc>
      </w:tr>
    </w:tbl>
    <w:p w14:paraId="3279723E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8207183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FAFA940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0FCBD10" w14:textId="77777777" w:rsidR="00775690" w:rsidRDefault="00775690" w:rsidP="0077569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офтальмологические атласы.</w:t>
      </w:r>
    </w:p>
    <w:p w14:paraId="74B27873" w14:textId="0633F75B" w:rsidR="00775690" w:rsidRPr="00775690" w:rsidRDefault="00775690" w:rsidP="0077569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7DC3BE52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3: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Принципы хирургического исправления аномалий рефракции. Принципы коррекции пресбиопии. Варианты консервативного лечения миопии с применением нетрадиционных методов.</w:t>
      </w:r>
    </w:p>
    <w:p w14:paraId="59695B61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9E3815D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7E6A08E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5AA4446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09FF5B" w14:textId="7266A1B8" w:rsidR="00775690" w:rsidRDefault="00775690" w:rsidP="00775690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Цель: </w:t>
      </w:r>
      <w:r>
        <w:rPr>
          <w:color w:val="000000"/>
          <w:sz w:val="28"/>
          <w:szCs w:val="28"/>
        </w:rPr>
        <w:t>сформировать знания обучающихся</w:t>
      </w:r>
      <w:r>
        <w:rPr>
          <w:color w:val="000000"/>
          <w:sz w:val="28"/>
          <w:szCs w:val="28"/>
        </w:rPr>
        <w:t xml:space="preserve"> по вопросам хирургического исправления аномалий рефракции и нетрадиционных методов лечения миопии, принципам коррекции пресбиопии.</w:t>
      </w:r>
    </w:p>
    <w:p w14:paraId="4BC8926F" w14:textId="678E6858" w:rsidR="00775690" w:rsidRDefault="00775690" w:rsidP="007756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A68BB5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84A815C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План проведения учебного занятия</w:t>
      </w:r>
    </w:p>
    <w:p w14:paraId="3D5181C3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5690" w14:paraId="70ECADA5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D96C" w14:textId="77777777" w:rsidR="00775690" w:rsidRDefault="00775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4500FE4B" w14:textId="77777777" w:rsidR="00775690" w:rsidRDefault="00775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590A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5690" w14:paraId="536BA928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8B0D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8B95229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4891999A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E9751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EBFC741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4E4BF7BB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5690" w14:paraId="5AA01866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56C5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AB57" w14:textId="6B5F20D1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75690" w14:paraId="6180B5A8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DB31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D458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F84233D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опрос.</w:t>
            </w:r>
          </w:p>
          <w:p w14:paraId="4B48AAE2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Вопросы для рассмотрения: </w:t>
            </w:r>
          </w:p>
          <w:p w14:paraId="3DD08422" w14:textId="77777777" w:rsidR="00775690" w:rsidRDefault="00775690" w:rsidP="0077569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Принципы хирургического лечения аномалий рефракции.</w:t>
            </w:r>
          </w:p>
          <w:p w14:paraId="0369D2A3" w14:textId="77777777" w:rsidR="00775690" w:rsidRDefault="00775690" w:rsidP="0077569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Принципы коррекции пресбиопии.</w:t>
            </w:r>
          </w:p>
          <w:p w14:paraId="0DC2793B" w14:textId="77777777" w:rsidR="00775690" w:rsidRDefault="00775690" w:rsidP="0077569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Консервативное лечение миопии с применением нетрадиционных методов.</w:t>
            </w:r>
          </w:p>
          <w:p w14:paraId="78B180E1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14:paraId="4CAA3DA2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14:paraId="3A0B6078" w14:textId="77777777" w:rsidR="00775690" w:rsidRDefault="00775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5690" w14:paraId="3240D227" w14:textId="77777777" w:rsidTr="0077569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D49C" w14:textId="77777777" w:rsidR="00775690" w:rsidRDefault="007756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31B3" w14:textId="77777777" w:rsidR="00775690" w:rsidRDefault="00775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13D16F61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AA9D6D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066397D" w14:textId="77777777" w:rsidR="00775690" w:rsidRDefault="00775690" w:rsidP="0077569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6CB8308C" w14:textId="77777777" w:rsidR="00775690" w:rsidRDefault="007756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Основные функции: </w:t>
            </w:r>
          </w:p>
          <w:p w14:paraId="712B5748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6C04717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3974006B" w14:textId="77777777" w:rsidR="00775690" w:rsidRDefault="0077569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в) совершенствование репродуктивного мышления.</w:t>
            </w:r>
          </w:p>
        </w:tc>
      </w:tr>
    </w:tbl>
    <w:p w14:paraId="7BCAEE5E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32781F0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DB09C59" w14:textId="77777777" w:rsidR="00775690" w:rsidRDefault="00775690" w:rsidP="0077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B6AB2BC" w14:textId="77777777" w:rsidR="00775690" w:rsidRDefault="00775690" w:rsidP="0077569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офтальмологические атласы.</w:t>
      </w:r>
    </w:p>
    <w:p w14:paraId="5757BD2C" w14:textId="77777777" w:rsidR="00775690" w:rsidRDefault="00775690" w:rsidP="0077569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13129979" w14:textId="77777777" w:rsidR="003433F0" w:rsidRDefault="003433F0" w:rsidP="0075100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B966723" w14:textId="77777777" w:rsidR="003433F0" w:rsidRDefault="003433F0" w:rsidP="0075100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E166334" w14:textId="247FE143" w:rsidR="003433F0" w:rsidRPr="00C60C01" w:rsidRDefault="003433F0" w:rsidP="00751009">
      <w:pPr>
        <w:widowControl w:val="0"/>
        <w:tabs>
          <w:tab w:val="left" w:pos="3660"/>
          <w:tab w:val="center" w:pos="5102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C60C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628E4" w14:textId="77777777" w:rsidR="00A0745A" w:rsidRPr="00321A77" w:rsidRDefault="00A0745A" w:rsidP="00751009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A0745A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3B24" w14:textId="77777777" w:rsidR="00245A24" w:rsidRDefault="00245A24" w:rsidP="00CF7355">
      <w:pPr>
        <w:spacing w:after="0" w:line="240" w:lineRule="auto"/>
      </w:pPr>
      <w:r>
        <w:separator/>
      </w:r>
    </w:p>
  </w:endnote>
  <w:endnote w:type="continuationSeparator" w:id="0">
    <w:p w14:paraId="59A363A6" w14:textId="77777777" w:rsidR="00245A24" w:rsidRDefault="00245A2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14:paraId="7B0FEA9E" w14:textId="775E192E" w:rsidR="00FB1A24" w:rsidRDefault="00FB1A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690">
          <w:rPr>
            <w:noProof/>
          </w:rPr>
          <w:t>2</w:t>
        </w:r>
        <w:r>
          <w:fldChar w:fldCharType="end"/>
        </w:r>
      </w:p>
    </w:sdtContent>
  </w:sdt>
  <w:p w14:paraId="2CA8BA04" w14:textId="77777777" w:rsidR="00FB1A24" w:rsidRDefault="00FB1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BB3B" w14:textId="77777777" w:rsidR="00245A24" w:rsidRDefault="00245A24" w:rsidP="00CF7355">
      <w:pPr>
        <w:spacing w:after="0" w:line="240" w:lineRule="auto"/>
      </w:pPr>
      <w:r>
        <w:separator/>
      </w:r>
    </w:p>
  </w:footnote>
  <w:footnote w:type="continuationSeparator" w:id="0">
    <w:p w14:paraId="13BB9045" w14:textId="77777777" w:rsidR="00245A24" w:rsidRDefault="00245A2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FC"/>
    <w:multiLevelType w:val="hybridMultilevel"/>
    <w:tmpl w:val="617649A4"/>
    <w:lvl w:ilvl="0" w:tplc="C19AD9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71FC3"/>
    <w:multiLevelType w:val="multilevel"/>
    <w:tmpl w:val="548C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934EF"/>
    <w:multiLevelType w:val="multilevel"/>
    <w:tmpl w:val="D6EE2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D65314"/>
    <w:multiLevelType w:val="hybridMultilevel"/>
    <w:tmpl w:val="0C0C7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D13165"/>
    <w:multiLevelType w:val="hybridMultilevel"/>
    <w:tmpl w:val="6FF2357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400F4C"/>
    <w:multiLevelType w:val="multilevel"/>
    <w:tmpl w:val="2778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052E1"/>
    <w:multiLevelType w:val="hybridMultilevel"/>
    <w:tmpl w:val="3490F41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0347E6"/>
    <w:multiLevelType w:val="hybridMultilevel"/>
    <w:tmpl w:val="FF0C2392"/>
    <w:lvl w:ilvl="0" w:tplc="56F68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2AE5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ABD"/>
    <w:multiLevelType w:val="hybridMultilevel"/>
    <w:tmpl w:val="6002B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4F41"/>
    <w:multiLevelType w:val="hybridMultilevel"/>
    <w:tmpl w:val="9F3A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3D7"/>
    <w:multiLevelType w:val="multilevel"/>
    <w:tmpl w:val="DD8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55FF9"/>
    <w:multiLevelType w:val="hybridMultilevel"/>
    <w:tmpl w:val="CC22F2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8E0EC0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96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F6408"/>
    <w:multiLevelType w:val="multilevel"/>
    <w:tmpl w:val="4C4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3E7D7E"/>
    <w:multiLevelType w:val="hybridMultilevel"/>
    <w:tmpl w:val="5A1C580E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3" w15:restartNumberingAfterBreak="0">
    <w:nsid w:val="6C530A42"/>
    <w:multiLevelType w:val="hybridMultilevel"/>
    <w:tmpl w:val="842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238B"/>
    <w:multiLevelType w:val="hybridMultilevel"/>
    <w:tmpl w:val="B716499A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425FB"/>
    <w:multiLevelType w:val="hybridMultilevel"/>
    <w:tmpl w:val="8714A7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2B001B"/>
    <w:multiLevelType w:val="multilevel"/>
    <w:tmpl w:val="6C3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25FA7"/>
    <w:multiLevelType w:val="multilevel"/>
    <w:tmpl w:val="983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0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21"/>
  </w:num>
  <w:num w:numId="5">
    <w:abstractNumId w:val="11"/>
  </w:num>
  <w:num w:numId="6">
    <w:abstractNumId w:val="18"/>
  </w:num>
  <w:num w:numId="7">
    <w:abstractNumId w:val="0"/>
  </w:num>
  <w:num w:numId="8">
    <w:abstractNumId w:val="9"/>
  </w:num>
  <w:num w:numId="9">
    <w:abstractNumId w:val="24"/>
  </w:num>
  <w:num w:numId="10">
    <w:abstractNumId w:val="20"/>
  </w:num>
  <w:num w:numId="11">
    <w:abstractNumId w:val="2"/>
  </w:num>
  <w:num w:numId="12">
    <w:abstractNumId w:val="14"/>
  </w:num>
  <w:num w:numId="13">
    <w:abstractNumId w:val="27"/>
  </w:num>
  <w:num w:numId="14">
    <w:abstractNumId w:val="26"/>
  </w:num>
  <w:num w:numId="15">
    <w:abstractNumId w:val="22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7"/>
  </w:num>
  <w:num w:numId="21">
    <w:abstractNumId w:val="23"/>
  </w:num>
  <w:num w:numId="22">
    <w:abstractNumId w:val="25"/>
  </w:num>
  <w:num w:numId="23">
    <w:abstractNumId w:val="17"/>
  </w:num>
  <w:num w:numId="24">
    <w:abstractNumId w:val="19"/>
  </w:num>
  <w:num w:numId="25">
    <w:abstractNumId w:val="16"/>
  </w:num>
  <w:num w:numId="26">
    <w:abstractNumId w:val="10"/>
  </w:num>
  <w:num w:numId="27">
    <w:abstractNumId w:val="12"/>
  </w:num>
  <w:num w:numId="28">
    <w:abstractNumId w:val="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36B7E"/>
    <w:rsid w:val="00245A24"/>
    <w:rsid w:val="002468AD"/>
    <w:rsid w:val="002648DD"/>
    <w:rsid w:val="002749B5"/>
    <w:rsid w:val="002B5FA7"/>
    <w:rsid w:val="00305C98"/>
    <w:rsid w:val="00321A77"/>
    <w:rsid w:val="003314E4"/>
    <w:rsid w:val="003433F0"/>
    <w:rsid w:val="003A7817"/>
    <w:rsid w:val="003C18DD"/>
    <w:rsid w:val="00405F5E"/>
    <w:rsid w:val="00444BE2"/>
    <w:rsid w:val="004711E5"/>
    <w:rsid w:val="00511905"/>
    <w:rsid w:val="00555F71"/>
    <w:rsid w:val="00586A55"/>
    <w:rsid w:val="005913A0"/>
    <w:rsid w:val="00616B40"/>
    <w:rsid w:val="006554B6"/>
    <w:rsid w:val="006F4DEA"/>
    <w:rsid w:val="00751009"/>
    <w:rsid w:val="0075623B"/>
    <w:rsid w:val="00774A23"/>
    <w:rsid w:val="00775690"/>
    <w:rsid w:val="0079716A"/>
    <w:rsid w:val="00801B05"/>
    <w:rsid w:val="00864C43"/>
    <w:rsid w:val="008F71DC"/>
    <w:rsid w:val="00951144"/>
    <w:rsid w:val="00A0745A"/>
    <w:rsid w:val="00A25B64"/>
    <w:rsid w:val="00A45FDC"/>
    <w:rsid w:val="00AD46EC"/>
    <w:rsid w:val="00AE75A9"/>
    <w:rsid w:val="00BA6F16"/>
    <w:rsid w:val="00BB48B1"/>
    <w:rsid w:val="00BC429F"/>
    <w:rsid w:val="00BD661B"/>
    <w:rsid w:val="00C05E63"/>
    <w:rsid w:val="00C33FB9"/>
    <w:rsid w:val="00CB6D9E"/>
    <w:rsid w:val="00CE33B3"/>
    <w:rsid w:val="00CF7355"/>
    <w:rsid w:val="00DA1FE4"/>
    <w:rsid w:val="00E724B7"/>
    <w:rsid w:val="00E72595"/>
    <w:rsid w:val="00EC4B6D"/>
    <w:rsid w:val="00F156F8"/>
    <w:rsid w:val="00F22691"/>
    <w:rsid w:val="00F623E9"/>
    <w:rsid w:val="00FA5D02"/>
    <w:rsid w:val="00FB1A2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321F"/>
  <w15:docId w15:val="{F2784A6D-ABCC-42D2-9B27-CB08DF4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rsid w:val="00555F71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5F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rsid w:val="003433F0"/>
    <w:rPr>
      <w:rFonts w:ascii="Verdana" w:hAnsi="Verdana" w:cs="Times New Roman"/>
      <w:color w:val="990000"/>
      <w:sz w:val="17"/>
      <w:u w:val="single"/>
    </w:rPr>
  </w:style>
  <w:style w:type="character" w:customStyle="1" w:styleId="apple-converted-space">
    <w:name w:val="apple-converted-space"/>
    <w:basedOn w:val="a0"/>
    <w:rsid w:val="003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Ания Исеркепова</cp:lastModifiedBy>
  <cp:revision>18</cp:revision>
  <cp:lastPrinted>2019-02-05T10:00:00Z</cp:lastPrinted>
  <dcterms:created xsi:type="dcterms:W3CDTF">2019-01-24T12:19:00Z</dcterms:created>
  <dcterms:modified xsi:type="dcterms:W3CDTF">2019-06-22T04:40:00Z</dcterms:modified>
</cp:coreProperties>
</file>