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92" w:rsidRDefault="00BC6592" w:rsidP="00BC6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5.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Естественное движение населения</w:t>
      </w:r>
    </w:p>
    <w:p w:rsidR="00CF6559" w:rsidRPr="009F675D" w:rsidRDefault="00CF6559" w:rsidP="00BC6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6592" w:rsidRDefault="00BC6592" w:rsidP="00BC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для демонстраци</w:t>
      </w:r>
      <w:r>
        <w:rPr>
          <w:rFonts w:ascii="Times New Roman" w:hAnsi="Times New Roman" w:cs="Times New Roman"/>
          <w:b/>
          <w:sz w:val="28"/>
          <w:szCs w:val="28"/>
        </w:rPr>
        <w:t>и практических умений и навыков</w:t>
      </w:r>
    </w:p>
    <w:p w:rsidR="00BC6592" w:rsidRDefault="00BC6592" w:rsidP="00BC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592" w:rsidRDefault="00BC6592" w:rsidP="00BC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ЭТАЛОН ВЫПОЛНЕНИЯ ЗАДАНИЯ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Российской Федерации за 2014 и 2016 годы. Исходные данные приведены в таблице.</w:t>
      </w:r>
    </w:p>
    <w:p w:rsidR="00BC6592" w:rsidRDefault="00BC6592" w:rsidP="00B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09"/>
        <w:gridCol w:w="1468"/>
        <w:gridCol w:w="1468"/>
      </w:tblGrid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Показатель, человек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2014 г.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2016 г.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146267288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146804372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Численность населения по основным возрастным группам:</w:t>
            </w:r>
          </w:p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</w:p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25689215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</w:p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26894845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трудоспособного возраста 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85414747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83224418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35163326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36685109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1942683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1888729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1912347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1891015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до 1 года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14322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11428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детей, умерших в возрасте до 7 дней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5459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4113</w:t>
            </w:r>
          </w:p>
        </w:tc>
      </w:tr>
      <w:tr w:rsidR="00BC6592" w:rsidRPr="00586CDB" w:rsidTr="00BC6592">
        <w:trPr>
          <w:jc w:val="center"/>
        </w:trPr>
        <w:tc>
          <w:tcPr>
            <w:tcW w:w="6619" w:type="dxa"/>
          </w:tcPr>
          <w:p w:rsidR="00BC6592" w:rsidRPr="00586CDB" w:rsidRDefault="00BC6592" w:rsidP="00BC6592">
            <w:pPr>
              <w:jc w:val="both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Число мертворожденных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11769</w:t>
            </w:r>
          </w:p>
        </w:tc>
        <w:tc>
          <w:tcPr>
            <w:tcW w:w="1476" w:type="dxa"/>
          </w:tcPr>
          <w:p w:rsidR="00BC6592" w:rsidRPr="00586CDB" w:rsidRDefault="00BC6592" w:rsidP="00BC6592">
            <w:pPr>
              <w:jc w:val="center"/>
              <w:rPr>
                <w:sz w:val="24"/>
                <w:szCs w:val="24"/>
              </w:rPr>
            </w:pPr>
            <w:r w:rsidRPr="00586CDB">
              <w:rPr>
                <w:sz w:val="24"/>
                <w:szCs w:val="24"/>
              </w:rPr>
              <w:t>10884</w:t>
            </w:r>
          </w:p>
        </w:tc>
      </w:tr>
    </w:tbl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рассчитать: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A40E3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BC6592" w:rsidRPr="000418A8" w:rsidRDefault="00BC6592" w:rsidP="00BC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A8">
        <w:rPr>
          <w:rFonts w:ascii="Times New Roman" w:hAnsi="Times New Roman"/>
          <w:b/>
          <w:sz w:val="28"/>
          <w:szCs w:val="28"/>
        </w:rPr>
        <w:t>Решение:</w:t>
      </w: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1942683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1000=13,3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Общийкоэффициентрождаемостив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1888729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1000=12,8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Общий коэффициент </m:t>
          </m:r>
          <m:r>
            <m:rPr>
              <m:nor/>
            </m:rPr>
            <w:rPr>
              <w:rFonts w:ascii="Cambria Math" w:hAnsi="Times New Roman"/>
              <w:sz w:val="28"/>
              <w:szCs w:val="28"/>
            </w:rPr>
            <m:t>смертности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Общее число </m:t>
              </m:r>
              <m:r>
                <m:rPr>
                  <m:nor/>
                </m:rPr>
                <w:rPr>
                  <w:rFonts w:ascii="Cambria Math" w:hAnsi="Times New Roman"/>
                  <w:sz w:val="28"/>
                  <w:szCs w:val="28"/>
                </w:rPr>
                <m:t>умерших</m:t>
              </m:r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 xml:space="preserve"> за год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Среднегодоваячисленностьнаселения</m:t>
              </m: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 xml:space="preserve"> 1000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1912347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146267288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1000=13,1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Общийкоэффициентсмертности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2016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. 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1891015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1000=12,9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‰</m:t>
          </m:r>
        </m:oMath>
      </m:oMathPara>
    </w:p>
    <w:p w:rsidR="00BC6592" w:rsidRPr="00893915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</w:t>
      </w:r>
      <w:r>
        <w:rPr>
          <w:rFonts w:ascii="Times New Roman" w:hAnsi="Times New Roman"/>
          <w:sz w:val="28"/>
          <w:szCs w:val="28"/>
        </w:rPr>
        <w:t>4</w:t>
      </w:r>
      <w:r w:rsidRPr="008D40D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енно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>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25689215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100=17,6 % 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85414747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146267288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100=58,4 %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35163326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146267288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100=24,0 %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Численностьнаселениямоложетрудоспособноговозраста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26894845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100=18,3 % 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Численностьнаселениятрудоспособноговозраста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83224418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100=56,7 %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CF6559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</w:rPr>
                <m:t>Численностьнаселениястаршетрудоспособноговозраста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>Среднегодоваячисленностьнаселения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36685109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</w:rPr>
                <m:t xml:space="preserve">146804372 </m:t>
              </m:r>
            </m:den>
          </m:f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100=25,0 %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B628B8">
        <w:rPr>
          <w:rFonts w:ascii="Times New Roman" w:hAnsi="Times New Roman"/>
          <w:sz w:val="28"/>
          <w:szCs w:val="28"/>
        </w:rPr>
        <w:t>естественного  =</w:t>
      </w:r>
      <w:proofErr w:type="gramEnd"/>
      <w:r w:rsidRPr="00B628B8">
        <w:rPr>
          <w:rFonts w:ascii="Times New Roman" w:hAnsi="Times New Roman"/>
          <w:sz w:val="28"/>
          <w:szCs w:val="28"/>
        </w:rPr>
        <w:t xml:space="preserve"> Общий коэффициент - Общий коэффициент</w:t>
      </w: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4F7D23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2014 г.</w:t>
      </w:r>
      <w:r w:rsidRPr="004F7D23">
        <w:rPr>
          <w:rFonts w:ascii="Times New Roman" w:hAnsi="Times New Roman"/>
          <w:sz w:val="24"/>
          <w:szCs w:val="24"/>
        </w:rPr>
        <w:t xml:space="preserve"> 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3-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 = 0,2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4F7D23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23">
        <w:rPr>
          <w:rFonts w:ascii="Times New Roman" w:hAnsi="Times New Roman"/>
          <w:sz w:val="24"/>
          <w:szCs w:val="24"/>
        </w:rPr>
        <w:t>Коэффициент естественного прироста населения</w:t>
      </w:r>
      <w:r>
        <w:rPr>
          <w:rFonts w:ascii="Times New Roman" w:hAnsi="Times New Roman"/>
          <w:sz w:val="24"/>
          <w:szCs w:val="24"/>
        </w:rPr>
        <w:t xml:space="preserve"> в 2016 г. </w:t>
      </w:r>
      <w:r w:rsidRPr="004F7D23">
        <w:rPr>
          <w:rFonts w:ascii="Times New Roman" w:hAnsi="Times New Roman"/>
          <w:sz w:val="24"/>
          <w:szCs w:val="24"/>
        </w:rPr>
        <w:t>=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8- </w:t>
      </w:r>
      <w:r w:rsidRPr="00BE6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E6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= -0,1</w:t>
      </w:r>
      <w:r w:rsidRPr="00BE69CA">
        <w:rPr>
          <w:rFonts w:ascii="Times New Roman" w:hAnsi="Times New Roman"/>
          <w:sz w:val="24"/>
          <w:szCs w:val="24"/>
        </w:rPr>
        <w:t>‰</w:t>
      </w:r>
    </w:p>
    <w:p w:rsidR="00BC6592" w:rsidRDefault="00BC6592" w:rsidP="00BC65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коэффициенты младенческой смертности, ранней неонатальной смертности, перинатальной смертности.</w:t>
      </w: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8"/>
            </w:rPr>
            <m:t xml:space="preserve">оэффициент </m:t>
          </m:r>
          <w:proofErr w:type="spellStart"/>
          <m:r>
            <m:rPr>
              <m:nor/>
            </m:rPr>
            <w:rPr>
              <w:rFonts w:ascii="Cambria Math" w:hAnsi="Times New Roman"/>
              <w:sz w:val="24"/>
              <w:szCs w:val="28"/>
            </w:rPr>
            <m:t>младенческойсмертности</m:t>
          </m:r>
          <w:proofErr w:type="spellEnd"/>
          <m:r>
            <m:rPr>
              <m:nor/>
            </m:rPr>
            <w:rPr>
              <w:rFonts w:ascii="Times New Roman" w:hAnsi="Times New Roman"/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24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 w:hAnsi="Times New Roman"/>
              <w:sz w:val="18"/>
              <w:szCs w:val="28"/>
            </w:rPr>
            <m:t xml:space="preserve"> 1000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младенческой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14322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,4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11428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1000=6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,1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8D40D4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="00CF6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ранней неонатальной смертности: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F0295F" w:rsidRDefault="00BC6592" w:rsidP="00BC6592">
      <w:pPr>
        <w:spacing w:after="0" w:line="240" w:lineRule="auto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  <w:sz w:val="18"/>
              <w:szCs w:val="18"/>
            </w:rPr>
            <m:t>К</m:t>
          </m:r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оэффициент </m:t>
          </m:r>
          <w:proofErr w:type="spellStart"/>
          <m:r>
            <m:rPr>
              <m:nor/>
            </m:rPr>
            <w:rPr>
              <w:rFonts w:ascii="Cambria Math" w:hAnsi="Times New Roman"/>
              <w:sz w:val="18"/>
              <w:szCs w:val="18"/>
            </w:rPr>
            <m:t>раннейнеонатальнойсмертности</m:t>
          </m:r>
          <w:proofErr w:type="spellEnd"/>
          <m:r>
            <m:rPr>
              <m:nor/>
            </m:rPr>
            <w:rPr>
              <w:rFonts w:ascii="Times New Roman" w:hAnsi="Times New Roman"/>
              <w:sz w:val="18"/>
              <w:szCs w:val="1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детей, умерших до 168 ч жизни (до 7 дня)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х</m:t>
          </m:r>
          <m:r>
            <w:rPr>
              <w:rFonts w:ascii="Cambria Math" w:hAnsi="Times New Roman"/>
              <w:sz w:val="18"/>
              <w:szCs w:val="18"/>
            </w:rPr>
            <m:t xml:space="preserve"> 1000</m:t>
          </m:r>
        </m:oMath>
      </m:oMathPara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ранней неонатальной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1942683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ранней неонатальной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1888729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="00CF6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перинатальной смертности: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096000" cy="8978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59" w:rsidRPr="00D833BE" w:rsidRDefault="00CF6559" w:rsidP="00BC65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833BE">
                              <w:rPr>
                                <w:rFonts w:ascii="Times New Roman" w:hAnsi="Times New Roman"/>
                              </w:rPr>
                              <w:t xml:space="preserve">  Число, родившихся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+   Ч</w:t>
                            </w:r>
                            <w:r w:rsidRPr="00D833BE">
                              <w:rPr>
                                <w:rFonts w:ascii="Times New Roman" w:hAnsi="Times New Roman"/>
                              </w:rPr>
                              <w:t xml:space="preserve">исло детей, умерших </w:t>
                            </w:r>
                          </w:p>
                          <w:p w:rsidR="00CF6559" w:rsidRDefault="00CF6559" w:rsidP="00BC65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833BE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мертвыми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до 168 ч жизни  </w:t>
                            </w:r>
                          </w:p>
                          <w:p w:rsidR="00CF6559" w:rsidRPr="00D833BE" w:rsidRDefault="00CF6559" w:rsidP="00BC65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833BE">
                              <w:rPr>
                                <w:rFonts w:ascii="Times New Roman" w:hAnsi="Times New Roman"/>
                              </w:rPr>
                              <w:t>Коэффициент перинатальной = --------------------------------------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-----------------------</w:t>
                            </w:r>
                            <w:r w:rsidRPr="00D833BE">
                              <w:rPr>
                                <w:rFonts w:ascii="Times New Roman" w:hAnsi="Times New Roman"/>
                              </w:rPr>
                              <w:t>-- х 1000</w:t>
                            </w:r>
                          </w:p>
                          <w:p w:rsidR="00CF6559" w:rsidRPr="00D833BE" w:rsidRDefault="00CF6559" w:rsidP="00BC65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833BE">
                              <w:rPr>
                                <w:rFonts w:ascii="Times New Roman" w:hAnsi="Times New Roman"/>
                              </w:rPr>
                              <w:t xml:space="preserve">               смертности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</w:rPr>
                                <m:t>Числородившихсяживымиимертвыми</m:t>
                              </m:r>
                            </m:oMath>
                          </w:p>
                          <w:p w:rsidR="00CF6559" w:rsidRPr="00D833BE" w:rsidRDefault="00CF6559" w:rsidP="00BC65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25pt;margin-top:11.5pt;width:480pt;height:70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" stroked="f">
                <v:textbox style="mso-fit-shape-to-text:t">
                  <w:txbxContent>
                    <w:p w:rsidR="00CF6559" w:rsidRPr="00D833BE" w:rsidRDefault="00CF6559" w:rsidP="00BC65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833BE">
                        <w:rPr>
                          <w:rFonts w:ascii="Times New Roman" w:hAnsi="Times New Roman"/>
                        </w:rPr>
                        <w:t xml:space="preserve">  Число, родившихся</w:t>
                      </w:r>
                      <w:r>
                        <w:rPr>
                          <w:rFonts w:ascii="Times New Roman" w:hAnsi="Times New Roman"/>
                        </w:rPr>
                        <w:t xml:space="preserve">   +   Ч</w:t>
                      </w:r>
                      <w:r w:rsidRPr="00D833BE">
                        <w:rPr>
                          <w:rFonts w:ascii="Times New Roman" w:hAnsi="Times New Roman"/>
                        </w:rPr>
                        <w:t xml:space="preserve">исло детей, умерших </w:t>
                      </w:r>
                    </w:p>
                    <w:p w:rsidR="00CF6559" w:rsidRDefault="00CF6559" w:rsidP="00BC65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833BE">
                        <w:rPr>
                          <w:rFonts w:ascii="Times New Roman" w:hAnsi="Times New Roman"/>
                        </w:rPr>
                        <w:t xml:space="preserve">                                                                мертвыми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до 168 ч жизни  </w:t>
                      </w:r>
                    </w:p>
                    <w:p w:rsidR="00CF6559" w:rsidRPr="00D833BE" w:rsidRDefault="00CF6559" w:rsidP="00BC65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833BE">
                        <w:rPr>
                          <w:rFonts w:ascii="Times New Roman" w:hAnsi="Times New Roman"/>
                        </w:rPr>
                        <w:t>Коэффициент перинатальной = --------------------------------------</w:t>
                      </w:r>
                      <w:r>
                        <w:rPr>
                          <w:rFonts w:ascii="Times New Roman" w:hAnsi="Times New Roman"/>
                        </w:rPr>
                        <w:t>-----------------------</w:t>
                      </w:r>
                      <w:r w:rsidRPr="00D833BE">
                        <w:rPr>
                          <w:rFonts w:ascii="Times New Roman" w:hAnsi="Times New Roman"/>
                        </w:rPr>
                        <w:t>-- х 1000</w:t>
                      </w:r>
                    </w:p>
                    <w:p w:rsidR="00CF6559" w:rsidRPr="00D833BE" w:rsidRDefault="00CF6559" w:rsidP="00BC65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833BE">
                        <w:rPr>
                          <w:rFonts w:ascii="Times New Roman" w:hAnsi="Times New Roman"/>
                        </w:rPr>
                        <w:t xml:space="preserve">               смертности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</w:rPr>
                          <m:t>Числородившихсяживымиимертвыми</m:t>
                        </m:r>
                      </m:oMath>
                    </w:p>
                    <w:p w:rsidR="00CF6559" w:rsidRPr="00D833BE" w:rsidRDefault="00CF6559" w:rsidP="00BC65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F0295F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Коэффициент перинатальной смертности в 201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>4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11769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54452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,8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  <w:bookmarkStart w:id="0" w:name="_GoBack"/>
      <w:bookmarkEnd w:id="0"/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92" w:rsidRPr="00B628B8" w:rsidRDefault="00BC6592" w:rsidP="00BC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Коэффициент перинатальной смертности в 2016 г. 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10884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1899613</m:t>
              </m: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w:rPr>
              <w:rFonts w:ascii="Cambria Math" w:hAnsi="Times New Roman"/>
              <w:sz w:val="24"/>
              <w:szCs w:val="24"/>
            </w:rPr>
            <m:t xml:space="preserve"> 1000=7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,9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‰</m:t>
          </m:r>
        </m:oMath>
      </m:oMathPara>
    </w:p>
    <w:p w:rsidR="00BC6592" w:rsidRDefault="00BC6592" w:rsidP="00BC65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592" w:rsidRDefault="00BC6592" w:rsidP="00BC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D85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C6592" w:rsidRDefault="00BC6592" w:rsidP="00BC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полученных показателей естественного движения населения Российской Федерации за 2014 и 2016 годы было выявлено: 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85F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85FDF">
        <w:rPr>
          <w:rFonts w:ascii="Times New Roman" w:hAnsi="Times New Roman"/>
          <w:sz w:val="28"/>
          <w:szCs w:val="28"/>
        </w:rPr>
        <w:t xml:space="preserve"> 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85FDF">
        <w:rPr>
          <w:rFonts w:ascii="Times New Roman" w:hAnsi="Times New Roman"/>
          <w:sz w:val="28"/>
          <w:szCs w:val="28"/>
        </w:rPr>
        <w:t xml:space="preserve">‰, что соответствует </w:t>
      </w:r>
      <w:proofErr w:type="gramStart"/>
      <w:r w:rsidRPr="00D85FDF">
        <w:rPr>
          <w:rFonts w:ascii="Times New Roman" w:hAnsi="Times New Roman"/>
          <w:sz w:val="28"/>
          <w:szCs w:val="28"/>
        </w:rPr>
        <w:t>о критериям</w:t>
      </w:r>
      <w:proofErr w:type="gramEnd"/>
      <w:r w:rsidRPr="00D85FDF">
        <w:rPr>
          <w:rFonts w:ascii="Times New Roman" w:hAnsi="Times New Roman"/>
          <w:sz w:val="28"/>
          <w:szCs w:val="28"/>
        </w:rPr>
        <w:t xml:space="preserve">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общего коэффициента смертности с 13,1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чем в Оренбургской области;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</w:t>
      </w:r>
      <w:r>
        <w:rPr>
          <w:rFonts w:ascii="Times New Roman" w:hAnsi="Times New Roman"/>
          <w:sz w:val="28"/>
          <w:szCs w:val="28"/>
        </w:rPr>
        <w:lastRenderedPageBreak/>
        <w:t>при снижении численности населения трудоспособного возраста с сохранением регрессивного типа структуры населения;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0,2‰ до -0,1‰, </w:t>
      </w:r>
      <w:proofErr w:type="spellStart"/>
      <w:r>
        <w:rPr>
          <w:rFonts w:ascii="Times New Roman" w:hAnsi="Times New Roman"/>
          <w:sz w:val="28"/>
          <w:szCs w:val="28"/>
        </w:rPr>
        <w:t>чтовыше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по Оренбургской обрасти;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7,4‰ до 6,1‰,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 xml:space="preserve">младенческой </w:t>
      </w:r>
      <w:proofErr w:type="spellStart"/>
      <w:proofErr w:type="gramStart"/>
      <w:r w:rsidRPr="008D40D4">
        <w:rPr>
          <w:rFonts w:ascii="Times New Roman" w:hAnsi="Times New Roman"/>
          <w:sz w:val="28"/>
          <w:szCs w:val="28"/>
        </w:rPr>
        <w:t>смертности</w:t>
      </w:r>
      <w:r>
        <w:rPr>
          <w:rFonts w:ascii="Times New Roman" w:hAnsi="Times New Roman"/>
          <w:sz w:val="28"/>
          <w:szCs w:val="28"/>
        </w:rPr>
        <w:t>,чтовыше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данных по Российской Федерации;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аранней</w:t>
      </w:r>
      <w:proofErr w:type="spellEnd"/>
      <w:r>
        <w:rPr>
          <w:rFonts w:ascii="Times New Roman" w:hAnsi="Times New Roman"/>
          <w:sz w:val="28"/>
          <w:szCs w:val="28"/>
        </w:rPr>
        <w:t xml:space="preserve"> неонатальной</w:t>
      </w:r>
      <w:r w:rsidRPr="008D40D4">
        <w:rPr>
          <w:rFonts w:ascii="Times New Roman" w:hAnsi="Times New Roman"/>
          <w:sz w:val="28"/>
          <w:szCs w:val="28"/>
        </w:rPr>
        <w:t xml:space="preserve"> смертности</w:t>
      </w:r>
      <w:r>
        <w:rPr>
          <w:rFonts w:ascii="Times New Roman" w:hAnsi="Times New Roman"/>
          <w:sz w:val="28"/>
          <w:szCs w:val="28"/>
        </w:rPr>
        <w:t xml:space="preserve"> с 2,8‰ до 2,2‰, </w:t>
      </w:r>
      <w:proofErr w:type="spellStart"/>
      <w:r>
        <w:rPr>
          <w:rFonts w:ascii="Times New Roman" w:hAnsi="Times New Roman"/>
          <w:sz w:val="28"/>
          <w:szCs w:val="28"/>
        </w:rPr>
        <w:t>чтовыше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по Российской Федерации;</w:t>
      </w:r>
    </w:p>
    <w:p w:rsidR="00BC6592" w:rsidRDefault="00BC6592" w:rsidP="00BC6592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37D1F">
        <w:rPr>
          <w:rFonts w:ascii="Times New Roman" w:hAnsi="Times New Roman"/>
          <w:sz w:val="28"/>
          <w:szCs w:val="28"/>
        </w:rPr>
        <w:t>снижение коэффициента перинатальной смертности с 8,8‰ до 7,9‰, что выше данных по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C6592" w:rsidRPr="009F675D" w:rsidRDefault="00BC6592" w:rsidP="00BC6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№1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336"/>
        <w:gridCol w:w="1336"/>
      </w:tblGrid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29673644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29636574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5333646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5430782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16858485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16585591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7481513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7620201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395571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380517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412786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403230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BC6592" w:rsidRPr="009F675D" w:rsidTr="00BC6592">
        <w:trPr>
          <w:jc w:val="center"/>
        </w:trPr>
        <w:tc>
          <w:tcPr>
            <w:tcW w:w="652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78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23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 2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1994762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1989589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391562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396957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1124018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1103964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479182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488668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28377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26704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28044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№3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4071064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4066972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810222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822603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2333369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2294078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927473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950291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59028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55628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54024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52330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№4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259"/>
        <w:gridCol w:w="1225"/>
      </w:tblGrid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685865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684684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130868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133621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389443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381250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165554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169813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6592" w:rsidRPr="009F675D" w:rsidTr="00BC6592">
        <w:trPr>
          <w:jc w:val="center"/>
        </w:trPr>
        <w:tc>
          <w:tcPr>
            <w:tcW w:w="6552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№5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259"/>
        <w:gridCol w:w="1225"/>
      </w:tblGrid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807453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808541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122459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123024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470376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466690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214618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218827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11395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11390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6592" w:rsidRPr="009F675D" w:rsidTr="00BC6592">
        <w:trPr>
          <w:jc w:val="center"/>
        </w:trPr>
        <w:tc>
          <w:tcPr>
            <w:tcW w:w="669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59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 6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3868730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3885253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721377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740182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2226628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2201986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920725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943085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56598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55592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46478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44949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C6592" w:rsidRPr="009F675D" w:rsidTr="00BC6592">
        <w:trPr>
          <w:jc w:val="center"/>
        </w:trPr>
        <w:tc>
          <w:tcPr>
            <w:tcW w:w="6487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№7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proofErr w:type="spellStart"/>
      <w:r w:rsidRPr="009F675D">
        <w:rPr>
          <w:rFonts w:ascii="Times New Roman" w:hAnsi="Times New Roman" w:cs="Times New Roman"/>
          <w:sz w:val="28"/>
          <w:szCs w:val="28"/>
        </w:rPr>
        <w:t>Удмурдской</w:t>
      </w:r>
      <w:proofErr w:type="spellEnd"/>
      <w:r w:rsidRPr="009F675D">
        <w:rPr>
          <w:rFonts w:ascii="Times New Roman" w:hAnsi="Times New Roman" w:cs="Times New Roman"/>
          <w:sz w:val="28"/>
          <w:szCs w:val="28"/>
        </w:rPr>
        <w:t xml:space="preserve">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1517164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1516826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304718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309685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855057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840847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357389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366294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22145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20995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19173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№8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1236628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1235863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230246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234337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710501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699690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295881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301836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17133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16358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16242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16296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№9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2634409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2632097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518665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528907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1484607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1461976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631137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641214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38761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37258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37370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36369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№10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sz w:val="28"/>
          <w:szCs w:val="28"/>
        </w:rPr>
        <w:t>Таблица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</w:t>
      </w:r>
      <w:proofErr w:type="spellEnd"/>
      <w:r w:rsidRPr="009F675D">
        <w:rPr>
          <w:rFonts w:ascii="Times New Roman" w:hAnsi="Times New Roman" w:cs="Times New Roman"/>
          <w:i/>
          <w:sz w:val="28"/>
          <w:szCs w:val="28"/>
        </w:rPr>
        <w:t xml:space="preserve">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1297474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1291684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225791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230150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708359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691955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363324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369579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16544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16299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19755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19309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№11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5.1.11 -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3260267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3247713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529374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540125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1844035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1810740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886858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896848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40096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38678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50732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50098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№12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5.1.12 -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1348703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1341526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209965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211835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753863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739886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384875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389805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14471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13705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20071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19562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№13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5.1.13 -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3205975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3203679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531351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544957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1831326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1802272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843298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856450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40986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40151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45636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44428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C6592" w:rsidRPr="009F675D" w:rsidTr="00BC6592">
        <w:trPr>
          <w:jc w:val="center"/>
        </w:trPr>
        <w:tc>
          <w:tcPr>
            <w:tcW w:w="6424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№14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5.1.14 -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2487529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2479260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407179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411054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1415293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1393945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665057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674261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28647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27135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35332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34840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C6592" w:rsidRPr="009F675D" w:rsidTr="00BC6592">
        <w:trPr>
          <w:jc w:val="center"/>
        </w:trPr>
        <w:tc>
          <w:tcPr>
            <w:tcW w:w="6416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№15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92" w:rsidRPr="009F675D" w:rsidRDefault="00BC6592" w:rsidP="00BC6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Таблица 5.1.15 - </w:t>
      </w:r>
      <w:r w:rsidRPr="009F675D">
        <w:rPr>
          <w:rFonts w:ascii="Times New Roman" w:hAnsi="Times New Roman" w:cs="Times New Roman"/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1257621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1252887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возрастным группам:</w:t>
            </w:r>
          </w:p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199869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203345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    трудоспособного возраста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711610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696312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346142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353230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15005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14544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18748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18541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до 1 года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7 дней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C6592" w:rsidRPr="009F675D" w:rsidTr="00BC6592">
        <w:trPr>
          <w:jc w:val="center"/>
        </w:trPr>
        <w:tc>
          <w:tcPr>
            <w:tcW w:w="6541" w:type="dxa"/>
          </w:tcPr>
          <w:p w:rsidR="00BC6592" w:rsidRPr="009F675D" w:rsidRDefault="00BC6592" w:rsidP="00BC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Число мертворожденных</w:t>
            </w:r>
          </w:p>
        </w:tc>
        <w:tc>
          <w:tcPr>
            <w:tcW w:w="1264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31" w:type="dxa"/>
          </w:tcPr>
          <w:p w:rsidR="00BC6592" w:rsidRPr="009F675D" w:rsidRDefault="00BC6592" w:rsidP="00BC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таблицы рассчитать: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BC6592" w:rsidRPr="009F675D" w:rsidRDefault="00BC6592" w:rsidP="00BC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30731" w:rsidRDefault="00530731"/>
    <w:sectPr w:rsidR="005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976F8"/>
    <w:multiLevelType w:val="multilevel"/>
    <w:tmpl w:val="970E7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75179"/>
    <w:multiLevelType w:val="hybridMultilevel"/>
    <w:tmpl w:val="F17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B2DB2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317FD0"/>
    <w:multiLevelType w:val="hybridMultilevel"/>
    <w:tmpl w:val="0FB02CC8"/>
    <w:lvl w:ilvl="0" w:tplc="2EA4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DA7D1C">
      <w:start w:val="1"/>
      <w:numFmt w:val="lowerLetter"/>
      <w:lvlText w:val="%2."/>
      <w:lvlJc w:val="left"/>
      <w:pPr>
        <w:ind w:left="1440" w:hanging="360"/>
      </w:pPr>
    </w:lvl>
    <w:lvl w:ilvl="2" w:tplc="257EC196" w:tentative="1">
      <w:start w:val="1"/>
      <w:numFmt w:val="lowerRoman"/>
      <w:lvlText w:val="%3."/>
      <w:lvlJc w:val="right"/>
      <w:pPr>
        <w:ind w:left="2160" w:hanging="180"/>
      </w:pPr>
    </w:lvl>
    <w:lvl w:ilvl="3" w:tplc="528297EE" w:tentative="1">
      <w:start w:val="1"/>
      <w:numFmt w:val="decimal"/>
      <w:lvlText w:val="%4."/>
      <w:lvlJc w:val="left"/>
      <w:pPr>
        <w:ind w:left="2880" w:hanging="360"/>
      </w:pPr>
    </w:lvl>
    <w:lvl w:ilvl="4" w:tplc="07360250" w:tentative="1">
      <w:start w:val="1"/>
      <w:numFmt w:val="lowerLetter"/>
      <w:lvlText w:val="%5."/>
      <w:lvlJc w:val="left"/>
      <w:pPr>
        <w:ind w:left="3600" w:hanging="360"/>
      </w:pPr>
    </w:lvl>
    <w:lvl w:ilvl="5" w:tplc="3912E6FE" w:tentative="1">
      <w:start w:val="1"/>
      <w:numFmt w:val="lowerRoman"/>
      <w:lvlText w:val="%6."/>
      <w:lvlJc w:val="right"/>
      <w:pPr>
        <w:ind w:left="4320" w:hanging="180"/>
      </w:pPr>
    </w:lvl>
    <w:lvl w:ilvl="6" w:tplc="2640BD8E" w:tentative="1">
      <w:start w:val="1"/>
      <w:numFmt w:val="decimal"/>
      <w:lvlText w:val="%7."/>
      <w:lvlJc w:val="left"/>
      <w:pPr>
        <w:ind w:left="5040" w:hanging="360"/>
      </w:pPr>
    </w:lvl>
    <w:lvl w:ilvl="7" w:tplc="8E42066C" w:tentative="1">
      <w:start w:val="1"/>
      <w:numFmt w:val="lowerLetter"/>
      <w:lvlText w:val="%8."/>
      <w:lvlJc w:val="left"/>
      <w:pPr>
        <w:ind w:left="5760" w:hanging="360"/>
      </w:pPr>
    </w:lvl>
    <w:lvl w:ilvl="8" w:tplc="954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071FB"/>
    <w:multiLevelType w:val="hybridMultilevel"/>
    <w:tmpl w:val="1CCC2BDC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4CA2"/>
    <w:multiLevelType w:val="multilevel"/>
    <w:tmpl w:val="5258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9E85589"/>
    <w:multiLevelType w:val="multilevel"/>
    <w:tmpl w:val="3CB8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33510"/>
    <w:multiLevelType w:val="hybridMultilevel"/>
    <w:tmpl w:val="D416F01C"/>
    <w:lvl w:ilvl="0" w:tplc="1A12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7C09"/>
    <w:multiLevelType w:val="hybridMultilevel"/>
    <w:tmpl w:val="5E5A1906"/>
    <w:lvl w:ilvl="0" w:tplc="FB1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3B02EB3"/>
    <w:multiLevelType w:val="multilevel"/>
    <w:tmpl w:val="7EDA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84268"/>
    <w:multiLevelType w:val="hybridMultilevel"/>
    <w:tmpl w:val="0FB02CC8"/>
    <w:lvl w:ilvl="0" w:tplc="277C3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BB4783A">
      <w:start w:val="1"/>
      <w:numFmt w:val="lowerLetter"/>
      <w:lvlText w:val="%2."/>
      <w:lvlJc w:val="left"/>
      <w:pPr>
        <w:ind w:left="1440" w:hanging="360"/>
      </w:pPr>
    </w:lvl>
    <w:lvl w:ilvl="2" w:tplc="AFA49C40" w:tentative="1">
      <w:start w:val="1"/>
      <w:numFmt w:val="lowerRoman"/>
      <w:lvlText w:val="%3."/>
      <w:lvlJc w:val="right"/>
      <w:pPr>
        <w:ind w:left="2160" w:hanging="180"/>
      </w:pPr>
    </w:lvl>
    <w:lvl w:ilvl="3" w:tplc="C4BE55A8" w:tentative="1">
      <w:start w:val="1"/>
      <w:numFmt w:val="decimal"/>
      <w:lvlText w:val="%4."/>
      <w:lvlJc w:val="left"/>
      <w:pPr>
        <w:ind w:left="2880" w:hanging="360"/>
      </w:pPr>
    </w:lvl>
    <w:lvl w:ilvl="4" w:tplc="8202004E" w:tentative="1">
      <w:start w:val="1"/>
      <w:numFmt w:val="lowerLetter"/>
      <w:lvlText w:val="%5."/>
      <w:lvlJc w:val="left"/>
      <w:pPr>
        <w:ind w:left="3600" w:hanging="360"/>
      </w:pPr>
    </w:lvl>
    <w:lvl w:ilvl="5" w:tplc="13784CBA" w:tentative="1">
      <w:start w:val="1"/>
      <w:numFmt w:val="lowerRoman"/>
      <w:lvlText w:val="%6."/>
      <w:lvlJc w:val="right"/>
      <w:pPr>
        <w:ind w:left="4320" w:hanging="180"/>
      </w:pPr>
    </w:lvl>
    <w:lvl w:ilvl="6" w:tplc="F90A859E" w:tentative="1">
      <w:start w:val="1"/>
      <w:numFmt w:val="decimal"/>
      <w:lvlText w:val="%7."/>
      <w:lvlJc w:val="left"/>
      <w:pPr>
        <w:ind w:left="5040" w:hanging="360"/>
      </w:pPr>
    </w:lvl>
    <w:lvl w:ilvl="7" w:tplc="8A2C45FC" w:tentative="1">
      <w:start w:val="1"/>
      <w:numFmt w:val="lowerLetter"/>
      <w:lvlText w:val="%8."/>
      <w:lvlJc w:val="left"/>
      <w:pPr>
        <w:ind w:left="5760" w:hanging="360"/>
      </w:pPr>
    </w:lvl>
    <w:lvl w:ilvl="8" w:tplc="3DBA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7794B"/>
    <w:multiLevelType w:val="hybridMultilevel"/>
    <w:tmpl w:val="C41630E6"/>
    <w:lvl w:ilvl="0" w:tplc="64D6C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A96CD2"/>
    <w:multiLevelType w:val="hybridMultilevel"/>
    <w:tmpl w:val="66F8B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1"/>
  </w:num>
  <w:num w:numId="5">
    <w:abstractNumId w:val="6"/>
  </w:num>
  <w:num w:numId="6">
    <w:abstractNumId w:val="31"/>
  </w:num>
  <w:num w:numId="7">
    <w:abstractNumId w:val="7"/>
  </w:num>
  <w:num w:numId="8">
    <w:abstractNumId w:val="1"/>
  </w:num>
  <w:num w:numId="9">
    <w:abstractNumId w:val="12"/>
  </w:num>
  <w:num w:numId="10">
    <w:abstractNumId w:val="33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"/>
  </w:num>
  <w:num w:numId="16">
    <w:abstractNumId w:val="4"/>
  </w:num>
  <w:num w:numId="17">
    <w:abstractNumId w:val="34"/>
  </w:num>
  <w:num w:numId="18">
    <w:abstractNumId w:val="19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0"/>
  </w:num>
  <w:num w:numId="24">
    <w:abstractNumId w:val="3"/>
  </w:num>
  <w:num w:numId="25">
    <w:abstractNumId w:val="26"/>
  </w:num>
  <w:num w:numId="26">
    <w:abstractNumId w:val="22"/>
  </w:num>
  <w:num w:numId="27">
    <w:abstractNumId w:val="5"/>
  </w:num>
  <w:num w:numId="28">
    <w:abstractNumId w:val="16"/>
  </w:num>
  <w:num w:numId="29">
    <w:abstractNumId w:val="9"/>
  </w:num>
  <w:num w:numId="30">
    <w:abstractNumId w:val="15"/>
  </w:num>
  <w:num w:numId="31">
    <w:abstractNumId w:val="20"/>
  </w:num>
  <w:num w:numId="32">
    <w:abstractNumId w:val="21"/>
  </w:num>
  <w:num w:numId="33">
    <w:abstractNumId w:val="32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E3565"/>
    <w:rsid w:val="00530731"/>
    <w:rsid w:val="007A2897"/>
    <w:rsid w:val="00BC6592"/>
    <w:rsid w:val="00CF6559"/>
    <w:rsid w:val="00E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BAF"/>
  <w15:chartTrackingRefBased/>
  <w15:docId w15:val="{D5806BC3-FD1E-43DB-B393-0F3B871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5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659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5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BC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659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99"/>
    <w:qFormat/>
    <w:rsid w:val="00BC659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BC659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C659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659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6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C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659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59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BC6592"/>
    <w:rPr>
      <w:b/>
      <w:bCs/>
    </w:rPr>
  </w:style>
  <w:style w:type="paragraph" w:customStyle="1" w:styleId="af">
    <w:name w:val="те_мет"/>
    <w:basedOn w:val="a"/>
    <w:link w:val="af0"/>
    <w:rsid w:val="00BC6592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character" w:customStyle="1" w:styleId="af0">
    <w:name w:val="те_мет Знак"/>
    <w:link w:val="af"/>
    <w:rsid w:val="00BC6592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BC65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C6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6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3</cp:revision>
  <dcterms:created xsi:type="dcterms:W3CDTF">2020-10-14T16:50:00Z</dcterms:created>
  <dcterms:modified xsi:type="dcterms:W3CDTF">2020-10-15T15:50:00Z</dcterms:modified>
</cp:coreProperties>
</file>