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733F53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ЛУЧЕВАЯ ДИАГНОСТИКА</w:t>
      </w:r>
      <w:r w:rsidR="00422A13">
        <w:rPr>
          <w:b/>
          <w:sz w:val="28"/>
          <w:szCs w:val="28"/>
          <w:u w:val="single"/>
        </w:rPr>
        <w:t>(РАДИОЛОГИЯ)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3645C1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31.05.01</w:t>
      </w:r>
      <w:r w:rsidR="00157258">
        <w:rPr>
          <w:b/>
          <w:sz w:val="28"/>
          <w:u w:val="single"/>
        </w:rPr>
        <w:t xml:space="preserve"> </w:t>
      </w:r>
      <w:r w:rsidR="00422A13">
        <w:rPr>
          <w:b/>
          <w:sz w:val="28"/>
          <w:u w:val="single"/>
        </w:rPr>
        <w:t>Медико-профилактическое</w:t>
      </w:r>
      <w:r>
        <w:rPr>
          <w:b/>
          <w:sz w:val="28"/>
          <w:u w:val="single"/>
        </w:rPr>
        <w:t xml:space="preserve"> дело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0D0B28">
        <w:rPr>
          <w:color w:val="000000"/>
          <w:sz w:val="24"/>
          <w:szCs w:val="24"/>
        </w:rPr>
        <w:t>ования по специальности 31.05.0</w:t>
      </w:r>
      <w:r w:rsidR="003645C1">
        <w:rPr>
          <w:color w:val="000000"/>
          <w:sz w:val="24"/>
          <w:szCs w:val="24"/>
        </w:rPr>
        <w:t>1</w:t>
      </w:r>
      <w:r w:rsidRPr="00A25EE3">
        <w:rPr>
          <w:color w:val="000000"/>
          <w:sz w:val="24"/>
          <w:szCs w:val="24"/>
        </w:rPr>
        <w:t xml:space="preserve"> «</w:t>
      </w:r>
      <w:r w:rsidR="00422A13">
        <w:rPr>
          <w:color w:val="000000"/>
          <w:sz w:val="24"/>
          <w:szCs w:val="24"/>
        </w:rPr>
        <w:t>Медико-профилактическое дело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Default="001171BA" w:rsidP="00F5136B">
      <w:pPr>
        <w:ind w:firstLine="709"/>
        <w:jc w:val="center"/>
        <w:rPr>
          <w:color w:val="000000"/>
          <w:sz w:val="24"/>
          <w:szCs w:val="24"/>
        </w:rPr>
      </w:pPr>
      <w:r w:rsidRPr="001171BA">
        <w:rPr>
          <w:color w:val="000000"/>
          <w:sz w:val="24"/>
          <w:szCs w:val="24"/>
        </w:rPr>
        <w:t xml:space="preserve">протокол № </w:t>
      </w:r>
      <w:r w:rsidR="00422A13">
        <w:rPr>
          <w:color w:val="000000"/>
          <w:sz w:val="24"/>
          <w:szCs w:val="24"/>
        </w:rPr>
        <w:t>11</w:t>
      </w:r>
      <w:r w:rsidRPr="001171BA">
        <w:rPr>
          <w:color w:val="000000"/>
          <w:sz w:val="24"/>
          <w:szCs w:val="24"/>
        </w:rPr>
        <w:t xml:space="preserve"> от «</w:t>
      </w:r>
      <w:r w:rsidR="00422A13">
        <w:rPr>
          <w:color w:val="000000"/>
          <w:sz w:val="24"/>
          <w:szCs w:val="24"/>
        </w:rPr>
        <w:t>22</w:t>
      </w:r>
      <w:r w:rsidRPr="001171BA">
        <w:rPr>
          <w:color w:val="000000"/>
          <w:sz w:val="24"/>
          <w:szCs w:val="24"/>
        </w:rPr>
        <w:t xml:space="preserve">» </w:t>
      </w:r>
      <w:r w:rsidR="00422A13">
        <w:rPr>
          <w:color w:val="000000"/>
          <w:sz w:val="24"/>
          <w:szCs w:val="24"/>
        </w:rPr>
        <w:t>июня 2018</w:t>
      </w:r>
      <w:r w:rsidRPr="001171BA">
        <w:rPr>
          <w:color w:val="000000"/>
          <w:sz w:val="24"/>
          <w:szCs w:val="24"/>
        </w:rPr>
        <w:t xml:space="preserve"> г</w:t>
      </w:r>
    </w:p>
    <w:p w:rsidR="001171BA" w:rsidRPr="004B2C94" w:rsidRDefault="001171BA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733F5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984"/>
        <w:gridCol w:w="1985"/>
      </w:tblGrid>
      <w:tr w:rsidR="00157258" w:rsidRPr="000D0B28" w:rsidTr="008E3477">
        <w:trPr>
          <w:trHeight w:val="1908"/>
        </w:trPr>
        <w:tc>
          <w:tcPr>
            <w:tcW w:w="567" w:type="dxa"/>
          </w:tcPr>
          <w:p w:rsidR="00157258" w:rsidRPr="000D0B28" w:rsidRDefault="00157258" w:rsidP="00157258">
            <w:pPr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Тема самостоятельной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самостоятельной работы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контактной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работы при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проведении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текущего 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157258" w:rsidRPr="000D0B28" w:rsidTr="008E3477">
        <w:trPr>
          <w:trHeight w:val="328"/>
        </w:trPr>
        <w:tc>
          <w:tcPr>
            <w:tcW w:w="567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157258" w:rsidRPr="000D0B28" w:rsidTr="008E3477">
        <w:trPr>
          <w:trHeight w:val="313"/>
        </w:trPr>
        <w:tc>
          <w:tcPr>
            <w:tcW w:w="9356" w:type="dxa"/>
            <w:gridSpan w:val="5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Самостоятельная работа в рамках практических занятий</w:t>
            </w:r>
          </w:p>
        </w:tc>
      </w:tr>
      <w:tr w:rsidR="00157258" w:rsidRPr="000D0B28" w:rsidTr="008E3477">
        <w:trPr>
          <w:trHeight w:val="3524"/>
        </w:trPr>
        <w:tc>
          <w:tcPr>
            <w:tcW w:w="567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422A13" w:rsidRPr="00422A13">
              <w:rPr>
                <w:rFonts w:ascii="Times New Roman" w:hAnsi="Times New Roman"/>
                <w:sz w:val="28"/>
                <w:szCs w:val="28"/>
              </w:rPr>
              <w:t>Структура и организация рентгеновской службы в системе здравоохранения РФ</w:t>
            </w:r>
            <w:r w:rsidR="00733F53" w:rsidRPr="000D0B28">
              <w:rPr>
                <w:rFonts w:ascii="Times New Roman" w:hAnsi="Times New Roman"/>
                <w:sz w:val="28"/>
                <w:szCs w:val="28"/>
              </w:rPr>
              <w:t>.</w:t>
            </w:r>
            <w:r w:rsidRPr="000D0B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518"/>
        </w:trPr>
        <w:tc>
          <w:tcPr>
            <w:tcW w:w="567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Основы рентгеновской 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скиалогии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13"/>
        </w:trPr>
        <w:tc>
          <w:tcPr>
            <w:tcW w:w="567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органов дыхания и средостения, сердечно-сосудистой системы.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</w:t>
            </w: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422A13" w:rsidRPr="000D0B28" w:rsidTr="008E3477">
        <w:trPr>
          <w:trHeight w:val="313"/>
        </w:trPr>
        <w:tc>
          <w:tcPr>
            <w:tcW w:w="567" w:type="dxa"/>
          </w:tcPr>
          <w:p w:rsidR="00422A13" w:rsidRPr="00422A13" w:rsidRDefault="00422A13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422A13" w:rsidRPr="000D0B28" w:rsidRDefault="00422A13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Pr="00422A1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Рентгенологическая семиотика заболеваний легких и сердца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22A13" w:rsidRPr="000D0B28" w:rsidRDefault="00422A13" w:rsidP="00157258">
            <w:pPr>
              <w:jc w:val="center"/>
              <w:rPr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422A13" w:rsidRPr="000D0B28" w:rsidRDefault="00422A13" w:rsidP="00422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422A13" w:rsidRPr="000D0B28" w:rsidRDefault="00422A13" w:rsidP="00422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422A13" w:rsidRPr="000D0B28" w:rsidRDefault="00422A13" w:rsidP="00422A13">
            <w:pPr>
              <w:jc w:val="center"/>
              <w:rPr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422A13" w:rsidRDefault="00422A13" w:rsidP="0015725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13"/>
        </w:trPr>
        <w:tc>
          <w:tcPr>
            <w:tcW w:w="567" w:type="dxa"/>
          </w:tcPr>
          <w:p w:rsidR="00157258" w:rsidRPr="000D0B28" w:rsidRDefault="00422A13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  <w:r w:rsidR="004B020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6</w:t>
            </w:r>
            <w:r w:rsidR="00157258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Рентгендиагностика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заболеваний опорно-двигательной системы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13"/>
        </w:trPr>
        <w:tc>
          <w:tcPr>
            <w:tcW w:w="567" w:type="dxa"/>
          </w:tcPr>
          <w:p w:rsidR="00157258" w:rsidRPr="000D0B28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  <w:r w:rsidR="00157258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57258" w:rsidRPr="000D0B28" w:rsidRDefault="00157258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Рентгеноанатомия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рентгенофизиология</w:t>
            </w:r>
            <w:proofErr w:type="spellEnd"/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пищеварительного тракта.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13"/>
        </w:trPr>
        <w:tc>
          <w:tcPr>
            <w:tcW w:w="567" w:type="dxa"/>
          </w:tcPr>
          <w:p w:rsidR="00157258" w:rsidRPr="000D0B28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8</w:t>
            </w:r>
            <w:r w:rsidR="00157258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57258" w:rsidRPr="000D0B28" w:rsidRDefault="00157258" w:rsidP="003645C1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="00733F53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Неотложная</w:t>
            </w:r>
            <w:r w:rsid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645C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помощь в рентгенологии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422A13" w:rsidRPr="000D0B28" w:rsidTr="008E3477">
        <w:trPr>
          <w:trHeight w:val="313"/>
        </w:trPr>
        <w:tc>
          <w:tcPr>
            <w:tcW w:w="567" w:type="dxa"/>
          </w:tcPr>
          <w:p w:rsidR="00422A13" w:rsidRDefault="004B020E" w:rsidP="0015725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  <w:r w:rsidR="00422A13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22A13" w:rsidRPr="000D0B28" w:rsidRDefault="00422A13" w:rsidP="00422A13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Современные методы лучевой диагностики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22A13" w:rsidRPr="000D0B28" w:rsidRDefault="00422A13" w:rsidP="00157258">
            <w:pPr>
              <w:jc w:val="center"/>
              <w:rPr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422A13" w:rsidRPr="000D0B28" w:rsidRDefault="00422A13" w:rsidP="00422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422A13" w:rsidRPr="000D0B28" w:rsidRDefault="00422A13" w:rsidP="00422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422A13" w:rsidRPr="000D0B28" w:rsidRDefault="00422A13" w:rsidP="00422A13">
            <w:pPr>
              <w:jc w:val="center"/>
              <w:rPr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422A13" w:rsidRDefault="00422A13" w:rsidP="0015725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157258" w:rsidRPr="000D0B28" w:rsidTr="008E3477">
        <w:trPr>
          <w:trHeight w:val="313"/>
        </w:trPr>
        <w:tc>
          <w:tcPr>
            <w:tcW w:w="567" w:type="dxa"/>
          </w:tcPr>
          <w:p w:rsidR="00157258" w:rsidRPr="000D0B28" w:rsidRDefault="00422A13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  <w:r w:rsidR="004B020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 11</w:t>
            </w:r>
            <w:r w:rsidR="00157258"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57258" w:rsidRPr="000D0B28" w:rsidRDefault="00067BF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«Частная лучевая диагностика»</w:t>
            </w:r>
          </w:p>
        </w:tc>
        <w:tc>
          <w:tcPr>
            <w:tcW w:w="2835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1984" w:type="dxa"/>
          </w:tcPr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157258" w:rsidRPr="000D0B28" w:rsidRDefault="0015725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157258" w:rsidRPr="000D0B28" w:rsidRDefault="000D0B28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067BFE" w:rsidRPr="000D0B28" w:rsidTr="008E3477">
        <w:trPr>
          <w:trHeight w:val="313"/>
        </w:trPr>
        <w:tc>
          <w:tcPr>
            <w:tcW w:w="567" w:type="dxa"/>
          </w:tcPr>
          <w:p w:rsidR="00067BFE" w:rsidRPr="00067BFE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  <w:r w:rsidR="00067BFE"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67BFE" w:rsidRPr="00067BFE" w:rsidRDefault="00067BFE" w:rsidP="00067BFE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Основы ядерной физики. За</w:t>
            </w:r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щита от проникающих излучений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</w:t>
            </w: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опрос;</w:t>
            </w:r>
          </w:p>
          <w:p w:rsidR="00067BFE" w:rsidRPr="00067BFE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Аудиторная</w:t>
            </w:r>
          </w:p>
        </w:tc>
      </w:tr>
      <w:tr w:rsidR="00067BFE" w:rsidRPr="000D0B28" w:rsidTr="008E3477">
        <w:trPr>
          <w:trHeight w:val="313"/>
        </w:trPr>
        <w:tc>
          <w:tcPr>
            <w:tcW w:w="567" w:type="dxa"/>
          </w:tcPr>
          <w:p w:rsidR="00067BFE" w:rsidRPr="00067BFE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13</w:t>
            </w:r>
            <w:r w:rsid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67BFE" w:rsidRPr="00067BFE" w:rsidRDefault="00067BFE" w:rsidP="00067BFE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Общие вопросы </w:t>
            </w:r>
            <w:proofErr w:type="spellStart"/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радионуклидной</w:t>
            </w:r>
            <w:proofErr w:type="spellEnd"/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диагностики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067BFE" w:rsidRPr="00067BFE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067BFE" w:rsidRPr="000D0B28" w:rsidTr="008E3477">
        <w:trPr>
          <w:trHeight w:val="313"/>
        </w:trPr>
        <w:tc>
          <w:tcPr>
            <w:tcW w:w="567" w:type="dxa"/>
          </w:tcPr>
          <w:p w:rsidR="00067BFE" w:rsidRPr="00067BFE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  <w:r w:rsid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67BFE" w:rsidRPr="00067BFE" w:rsidRDefault="00067BFE" w:rsidP="00067BFE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Биологическое действие ионизирующих излучений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</w:t>
            </w:r>
          </w:p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067BFE" w:rsidRPr="00067BFE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тестирование; проверка практических навыков</w:t>
            </w:r>
          </w:p>
        </w:tc>
        <w:tc>
          <w:tcPr>
            <w:tcW w:w="198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Аудиторная</w:t>
            </w:r>
          </w:p>
        </w:tc>
      </w:tr>
      <w:tr w:rsidR="00067BFE" w:rsidRPr="000D0B28" w:rsidTr="008E3477">
        <w:trPr>
          <w:trHeight w:val="313"/>
        </w:trPr>
        <w:tc>
          <w:tcPr>
            <w:tcW w:w="567" w:type="dxa"/>
          </w:tcPr>
          <w:p w:rsidR="00067BFE" w:rsidRPr="00067BFE" w:rsidRDefault="004B020E" w:rsidP="00157258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  <w:bookmarkStart w:id="0" w:name="_GoBack"/>
            <w:bookmarkEnd w:id="0"/>
            <w:r w:rsid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67BFE" w:rsidRPr="00067BFE" w:rsidRDefault="00067BFE" w:rsidP="00067BFE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Тема: «</w:t>
            </w:r>
            <w:r w:rsidRPr="00067BF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Общие вопросы лучевой терапии. Осложнения при лучевой терапии</w:t>
            </w:r>
            <w:r w:rsidRPr="000D0B2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</w:t>
            </w: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1984" w:type="dxa"/>
          </w:tcPr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</w:t>
            </w:r>
          </w:p>
          <w:p w:rsidR="00067BFE" w:rsidRPr="000D0B28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>устный опрос;</w:t>
            </w:r>
          </w:p>
          <w:p w:rsidR="00067BFE" w:rsidRPr="00067BFE" w:rsidRDefault="00067BFE" w:rsidP="00067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B28">
              <w:rPr>
                <w:rFonts w:ascii="Times New Roman" w:hAnsi="Times New Roman"/>
                <w:sz w:val="28"/>
                <w:szCs w:val="28"/>
              </w:rPr>
              <w:t xml:space="preserve">тестирование; проверка </w:t>
            </w:r>
            <w:r w:rsidRPr="000D0B28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навыков</w:t>
            </w:r>
          </w:p>
        </w:tc>
        <w:tc>
          <w:tcPr>
            <w:tcW w:w="1985" w:type="dxa"/>
          </w:tcPr>
          <w:p w:rsidR="00067BFE" w:rsidRPr="00067BFE" w:rsidRDefault="00067BFE" w:rsidP="00157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Аудиторная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r w:rsidR="004670CE">
        <w:rPr>
          <w:sz w:val="28"/>
        </w:rPr>
        <w:t>,</w:t>
      </w:r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6F7AD8" w:rsidRPr="006F7AD8" w:rsidRDefault="006F7AD8" w:rsidP="000D0B28">
      <w:pPr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="000D0B28">
        <w:rPr>
          <w:color w:val="000000"/>
          <w:sz w:val="28"/>
          <w:szCs w:val="28"/>
        </w:rPr>
        <w:t>дист</w:t>
      </w:r>
      <w:r w:rsidR="000D0B28" w:rsidRPr="006E062D">
        <w:rPr>
          <w:color w:val="000000"/>
          <w:sz w:val="28"/>
          <w:szCs w:val="28"/>
        </w:rPr>
        <w:t>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47" w:rsidRDefault="00F01A47" w:rsidP="00FD5B6B">
      <w:r>
        <w:separator/>
      </w:r>
    </w:p>
  </w:endnote>
  <w:endnote w:type="continuationSeparator" w:id="0">
    <w:p w:rsidR="00F01A47" w:rsidRDefault="00F01A4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020E">
      <w:rPr>
        <w:noProof/>
      </w:rPr>
      <w:t>12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47" w:rsidRDefault="00F01A47" w:rsidP="00FD5B6B">
      <w:r>
        <w:separator/>
      </w:r>
    </w:p>
  </w:footnote>
  <w:footnote w:type="continuationSeparator" w:id="0">
    <w:p w:rsidR="00F01A47" w:rsidRDefault="00F01A4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67BFE"/>
    <w:rsid w:val="00083C34"/>
    <w:rsid w:val="000931E3"/>
    <w:rsid w:val="000975D5"/>
    <w:rsid w:val="000D0B28"/>
    <w:rsid w:val="001171BA"/>
    <w:rsid w:val="00157258"/>
    <w:rsid w:val="00177287"/>
    <w:rsid w:val="001D4FA7"/>
    <w:rsid w:val="001F5EE1"/>
    <w:rsid w:val="0023487A"/>
    <w:rsid w:val="0024749A"/>
    <w:rsid w:val="0026698D"/>
    <w:rsid w:val="002D2784"/>
    <w:rsid w:val="003645C1"/>
    <w:rsid w:val="003B5F75"/>
    <w:rsid w:val="003C37BE"/>
    <w:rsid w:val="00422A13"/>
    <w:rsid w:val="00444F4D"/>
    <w:rsid w:val="0045011E"/>
    <w:rsid w:val="004670CE"/>
    <w:rsid w:val="00476000"/>
    <w:rsid w:val="004B020E"/>
    <w:rsid w:val="004B2C94"/>
    <w:rsid w:val="004C1386"/>
    <w:rsid w:val="004D1091"/>
    <w:rsid w:val="004F38A4"/>
    <w:rsid w:val="005677BE"/>
    <w:rsid w:val="00582BA5"/>
    <w:rsid w:val="00593334"/>
    <w:rsid w:val="006847B8"/>
    <w:rsid w:val="00686266"/>
    <w:rsid w:val="00693E11"/>
    <w:rsid w:val="006F14A4"/>
    <w:rsid w:val="006F7AD8"/>
    <w:rsid w:val="00733F53"/>
    <w:rsid w:val="00742208"/>
    <w:rsid w:val="00755609"/>
    <w:rsid w:val="0079237F"/>
    <w:rsid w:val="008113A5"/>
    <w:rsid w:val="00832D24"/>
    <w:rsid w:val="008342CD"/>
    <w:rsid w:val="00843BE9"/>
    <w:rsid w:val="00845C7D"/>
    <w:rsid w:val="008576FF"/>
    <w:rsid w:val="008E3AD7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1A47"/>
    <w:rsid w:val="00F0689E"/>
    <w:rsid w:val="00F423B1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1572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13</cp:revision>
  <dcterms:created xsi:type="dcterms:W3CDTF">2019-06-18T03:50:00Z</dcterms:created>
  <dcterms:modified xsi:type="dcterms:W3CDTF">2019-10-17T08:44:00Z</dcterms:modified>
</cp:coreProperties>
</file>