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6127AB" w:rsidRDefault="00BD661B" w:rsidP="00321A77">
      <w:pPr>
        <w:spacing w:after="0" w:line="240" w:lineRule="auto"/>
        <w:jc w:val="center"/>
        <w:rPr>
          <w:rFonts w:ascii="Bebas Neue" w:hAnsi="Bebas Neue"/>
          <w:sz w:val="28"/>
          <w:szCs w:val="28"/>
        </w:rPr>
      </w:pPr>
    </w:p>
    <w:p w:rsidR="006127AB" w:rsidRPr="006127AB" w:rsidRDefault="00EB30FD" w:rsidP="006127AB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КЛИНИЧЕСКАЯ ИММУНОЛОГИЯ И ТРАНСФУЗИОЛОГИЯ</w:t>
      </w:r>
    </w:p>
    <w:p w:rsidR="006127AB" w:rsidRPr="006127AB" w:rsidRDefault="006127AB" w:rsidP="006127AB">
      <w:pPr>
        <w:ind w:firstLine="709"/>
        <w:jc w:val="center"/>
        <w:rPr>
          <w:rFonts w:ascii="Times New Roman" w:hAnsi="Times New Roman"/>
          <w:sz w:val="28"/>
        </w:rPr>
      </w:pPr>
    </w:p>
    <w:p w:rsidR="006127AB" w:rsidRPr="006127AB" w:rsidRDefault="006127AB" w:rsidP="006127AB">
      <w:pPr>
        <w:ind w:firstLine="709"/>
        <w:jc w:val="center"/>
        <w:rPr>
          <w:rFonts w:ascii="Times New Roman" w:hAnsi="Times New Roman"/>
          <w:sz w:val="28"/>
        </w:rPr>
      </w:pPr>
      <w:r w:rsidRPr="006127AB">
        <w:rPr>
          <w:rFonts w:ascii="Times New Roman" w:hAnsi="Times New Roman"/>
          <w:sz w:val="28"/>
        </w:rPr>
        <w:t xml:space="preserve">по специальности </w:t>
      </w:r>
    </w:p>
    <w:p w:rsidR="006127AB" w:rsidRPr="006127AB" w:rsidRDefault="006127AB" w:rsidP="006127AB">
      <w:pPr>
        <w:ind w:firstLine="709"/>
        <w:jc w:val="center"/>
        <w:rPr>
          <w:rFonts w:ascii="Times New Roman" w:hAnsi="Times New Roman"/>
          <w:sz w:val="28"/>
        </w:rPr>
      </w:pPr>
    </w:p>
    <w:p w:rsidR="006127AB" w:rsidRPr="006127AB" w:rsidRDefault="00BB7112" w:rsidP="006127AB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31.08.56</w:t>
      </w:r>
      <w:r w:rsidR="006127AB" w:rsidRPr="006127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Нейрохирургия</w:t>
      </w:r>
    </w:p>
    <w:p w:rsidR="006127AB" w:rsidRDefault="006127AB" w:rsidP="006127AB">
      <w:pPr>
        <w:ind w:firstLine="709"/>
        <w:jc w:val="center"/>
        <w:rPr>
          <w:sz w:val="28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7AB" w:rsidRPr="00BD661B" w:rsidRDefault="006127A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6127AB" w:rsidRDefault="006127AB" w:rsidP="006127A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7A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BB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31.08.56</w:t>
      </w:r>
      <w:r w:rsidR="009E2BCD" w:rsidRPr="009E2B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B71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Нейрохирургия</w:t>
      </w:r>
      <w:bookmarkStart w:id="0" w:name="_GoBack"/>
      <w:bookmarkEnd w:id="0"/>
      <w:r w:rsidRPr="006127AB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E20088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E20088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0088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E20088">
        <w:rPr>
          <w:rFonts w:ascii="Times New Roman" w:hAnsi="Times New Roman"/>
          <w:color w:val="000000"/>
          <w:sz w:val="24"/>
          <w:szCs w:val="24"/>
        </w:rPr>
        <w:t>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27AB" w:rsidRPr="00985508" w:rsidRDefault="00616B40" w:rsidP="0098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6818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EE208C" w:rsidRDefault="00E72595" w:rsidP="00EE208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68C">
        <w:rPr>
          <w:rFonts w:ascii="Times New Roman" w:hAnsi="Times New Roman"/>
          <w:color w:val="000000"/>
          <w:sz w:val="28"/>
          <w:szCs w:val="28"/>
        </w:rPr>
        <w:t>«</w:t>
      </w:r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>Основы инфузионно</w:t>
      </w:r>
      <w:r w:rsidR="00904376">
        <w:rPr>
          <w:rFonts w:ascii="Times New Roman" w:hAnsi="Times New Roman"/>
          <w:b/>
          <w:color w:val="000000"/>
          <w:sz w:val="28"/>
          <w:szCs w:val="28"/>
        </w:rPr>
        <w:t>-трансфузионной</w:t>
      </w:r>
      <w:r w:rsidR="00904376" w:rsidRPr="00904376">
        <w:rPr>
          <w:rFonts w:ascii="Times New Roman" w:hAnsi="Times New Roman"/>
          <w:b/>
          <w:color w:val="000000"/>
          <w:sz w:val="28"/>
          <w:szCs w:val="28"/>
        </w:rPr>
        <w:t xml:space="preserve"> терапии</w:t>
      </w:r>
      <w:r w:rsidR="00D0168C">
        <w:rPr>
          <w:rFonts w:ascii="Times New Roman" w:hAnsi="Times New Roman"/>
          <w:b/>
          <w:bCs/>
          <w:sz w:val="28"/>
          <w:szCs w:val="28"/>
        </w:rPr>
        <w:t>»</w:t>
      </w:r>
      <w:r w:rsidR="00EC5394">
        <w:rPr>
          <w:rFonts w:ascii="Times New Roman" w:hAnsi="Times New Roman"/>
          <w:b/>
          <w:bCs/>
          <w:sz w:val="28"/>
          <w:szCs w:val="28"/>
        </w:rPr>
        <w:t>.</w:t>
      </w:r>
    </w:p>
    <w:p w:rsidR="0079716A" w:rsidRPr="00EC5394" w:rsidRDefault="003314E4" w:rsidP="00681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04376">
        <w:rPr>
          <w:rFonts w:ascii="Times New Roman" w:hAnsi="Times New Roman"/>
          <w:sz w:val="28"/>
          <w:szCs w:val="28"/>
        </w:rPr>
        <w:t>сформировать углубленное понимание задач и методов инфузионно-трансфузионной терапии, показаниях к её применению, осложнениях.</w:t>
      </w:r>
      <w:r w:rsidR="00EC5394">
        <w:rPr>
          <w:rFonts w:ascii="Times New Roman" w:hAnsi="Times New Roman"/>
          <w:sz w:val="28"/>
          <w:szCs w:val="28"/>
        </w:rPr>
        <w:t>.</w:t>
      </w:r>
    </w:p>
    <w:p w:rsidR="00EC5394" w:rsidRDefault="00E72595" w:rsidP="00904376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EC5394" w:rsidRPr="00EC5394">
        <w:rPr>
          <w:rFonts w:ascii="Times New Roman" w:hAnsi="Times New Roman"/>
          <w:sz w:val="28"/>
          <w:szCs w:val="28"/>
        </w:rPr>
        <w:t xml:space="preserve">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Инфузионная терапия. Определение понятия. Базисная инфузионная терапия. Коррегирующая инфузионная терапия.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Расчет объема инфузии. Патологические потери. Место одышки и гипертермии при определении объема инфузии. Понятие об инфузионых средах. Составление инфузионной программы. Мониторинг волемичности. Корекция электролитных и кислотно-щелочных нарушений.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Пути введения инфузионных растворов. Сосудистый путь.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Чрескожная пункция с введением микрокатетеров. Венесекция.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Чрескожная катетеризация верхней полой вены, подключичной и яремной вен.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 xml:space="preserve">Несосудистый путь. 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Энтеральное введение. Ректальное введение растворов ограничено, так как в кишечнике практически возможно усвоение только воды.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Подкожное введение. Катетеризация подключичной вены по Сельдингеру. Навигационноконтролируемая катетризация яремной и бедренной вен. Пункция артерий.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Осложнения инфузионной терапии.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376">
        <w:rPr>
          <w:rFonts w:ascii="Times New Roman" w:hAnsi="Times New Roman"/>
          <w:sz w:val="28"/>
          <w:szCs w:val="28"/>
        </w:rPr>
        <w:t>Понятие о трансфузиологии. Гемотрансфузии. Препараты крови. Показания для переливания крови и ее компонентов. Проведение гемотрансфузий. Осложнения гемотрансфузий.</w:t>
      </w:r>
    </w:p>
    <w:p w:rsidR="00E72595" w:rsidRPr="00321A77" w:rsidRDefault="00E72595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EC53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вводная.</w:t>
      </w:r>
    </w:p>
    <w:p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EC5394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(лекция), наглядные (иллюстрация), индуктивные и дедуктивные.</w:t>
      </w:r>
    </w:p>
    <w:p w:rsidR="00E72595" w:rsidRPr="00321A77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EC5394" w:rsidRDefault="00E72595" w:rsidP="006818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EC5394" w:rsidRPr="00EC5394">
        <w:rPr>
          <w:rFonts w:ascii="Times New Roman" w:hAnsi="Times New Roman"/>
          <w:color w:val="000000"/>
          <w:sz w:val="28"/>
          <w:szCs w:val="28"/>
        </w:rPr>
        <w:t>:</w:t>
      </w:r>
      <w:r w:rsidRPr="00EC53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A0" w:rsidRPr="00EC5394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EC5394" w:rsidRPr="00EE208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B5A89" w:rsidRDefault="00EC5394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394">
        <w:rPr>
          <w:rFonts w:ascii="Times New Roman" w:hAnsi="Times New Roman"/>
          <w:color w:val="000000"/>
          <w:sz w:val="28"/>
          <w:szCs w:val="28"/>
        </w:rPr>
        <w:t>-</w:t>
      </w:r>
      <w:r w:rsidR="00EE20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39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Pr="00EE208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72595" w:rsidRPr="00EC539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 w:rsidR="005913A0" w:rsidRPr="00EC5394">
        <w:rPr>
          <w:rFonts w:ascii="Times New Roman" w:hAnsi="Times New Roman"/>
          <w:color w:val="000000"/>
          <w:sz w:val="28"/>
          <w:szCs w:val="28"/>
        </w:rPr>
        <w:t>.</w:t>
      </w:r>
    </w:p>
    <w:p w:rsidR="00904376" w:rsidRP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835" w:rsidRPr="00321A77" w:rsidRDefault="0067083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127AB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127AB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7A2DC6" w:rsidRDefault="002B5FA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="006127AB" w:rsidRPr="007A2DC6">
        <w:rPr>
          <w:rFonts w:ascii="Times New Roman" w:hAnsi="Times New Roman"/>
          <w:sz w:val="28"/>
          <w:szCs w:val="28"/>
        </w:rPr>
        <w:t>»</w:t>
      </w:r>
    </w:p>
    <w:p w:rsidR="003A7817" w:rsidRPr="007A2DC6" w:rsidRDefault="003A7817" w:rsidP="006127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2DC6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6127AB"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трансфузионной службы в РФ. Основные нормативные документы в трансфузиологии.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донорства. Организация трансфузиологической те</w:t>
      </w:r>
      <w:r w:rsid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рапии в медицинских учреждениях</w:t>
      </w:r>
      <w:r w:rsidR="006127AB" w:rsidRPr="007A2DC6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:rsidR="005913A0" w:rsidRPr="00321A77" w:rsidRDefault="006127A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5913A0" w:rsidRPr="00321A77" w:rsidRDefault="005913A0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Default="003A7817" w:rsidP="007A2DC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6D3C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 w:rsidRP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</w:t>
      </w:r>
      <w:r w:rsidR="00605C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организации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трансфузионной службы в РФ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основании нормотивно-правовых актов (</w:t>
      </w:r>
      <w:r w:rsidR="00605C49" w:rsidRPr="009043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Российской Федерации о донорах крови и ее компонентов</w:t>
      </w:r>
      <w:r w:rsidR="00605C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7A2DC6" w:rsidRPr="007A2DC6" w:rsidRDefault="007A2DC6" w:rsidP="007A2D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AC33A7" w:rsidRDefault="0000640F" w:rsidP="00AC33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AC33A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FB2F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="00FB2F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FD2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B2FD2"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75623B" w:rsidRDefault="00FB2FD2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04376" w:rsidRDefault="00904376" w:rsidP="0090437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трансфузионной службы в РФ. </w:t>
            </w:r>
          </w:p>
          <w:p w:rsidR="00904376" w:rsidRDefault="00904376" w:rsidP="00904376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Основные нормативные документы в трансфузиологии. </w:t>
            </w:r>
          </w:p>
          <w:p w:rsidR="00605C49" w:rsidRDefault="00904376" w:rsidP="00605C4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донорства: Закон Российской Федерации о донорах крови и ее компонентов. </w:t>
            </w:r>
          </w:p>
          <w:p w:rsidR="00904376" w:rsidRPr="00904376" w:rsidRDefault="00904376" w:rsidP="00605C4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трансфузиологической терапии в медицинских учреждениях</w:t>
            </w:r>
          </w:p>
        </w:tc>
      </w:tr>
      <w:tr w:rsidR="0000640F" w:rsidRPr="00321A77" w:rsidTr="00BD7181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BD7181" w:rsidRDefault="0075623B" w:rsidP="00BD71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BD718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BD718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</w:t>
      </w:r>
      <w:r w:rsidR="0075623B" w:rsidRPr="00BD7181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 w:rsidR="00BD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</w:t>
      </w:r>
      <w:r w:rsidR="00BD7181" w:rsidRPr="00BD7181">
        <w:rPr>
          <w:rFonts w:ascii="Times New Roman" w:hAnsi="Times New Roman"/>
          <w:color w:val="000000"/>
          <w:sz w:val="28"/>
          <w:szCs w:val="28"/>
        </w:rPr>
        <w:t>ектор).</w:t>
      </w:r>
    </w:p>
    <w:p w:rsidR="00AC33A7" w:rsidRDefault="00AC33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0AB0" w:rsidRPr="00190AB0" w:rsidRDefault="00190AB0" w:rsidP="00190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AC33A7" w:rsidRPr="007A2DC6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="00904376" w:rsidRPr="00904376">
        <w:rPr>
          <w:rFonts w:ascii="Times New Roman" w:hAnsi="Times New Roman"/>
          <w:sz w:val="28"/>
          <w:szCs w:val="28"/>
        </w:rPr>
        <w:t>Производственная т</w:t>
      </w:r>
      <w:r w:rsidR="00605C49">
        <w:rPr>
          <w:rFonts w:ascii="Times New Roman" w:hAnsi="Times New Roman"/>
          <w:sz w:val="28"/>
          <w:szCs w:val="28"/>
        </w:rPr>
        <w:t>р</w:t>
      </w:r>
      <w:r w:rsidR="00904376" w:rsidRPr="00904376">
        <w:rPr>
          <w:rFonts w:ascii="Times New Roman" w:hAnsi="Times New Roman"/>
          <w:sz w:val="28"/>
          <w:szCs w:val="28"/>
        </w:rPr>
        <w:t>ансфузиология. Служба крови. Организация донорства: Закон Российской Федерации о донорах крови и ее компонентов. Порядок обследования. Абсолютные и относительные (временные) противопоказания к различным видам донорства Обеспечение вирусной безопасности компонентов крови. Организация карантина плазмы. Условия хра</w:t>
      </w:r>
      <w:r w:rsidR="00904376">
        <w:rPr>
          <w:rFonts w:ascii="Times New Roman" w:hAnsi="Times New Roman"/>
          <w:sz w:val="28"/>
          <w:szCs w:val="28"/>
        </w:rPr>
        <w:t>нения и выдачи препаратов крови</w:t>
      </w:r>
      <w:r w:rsidRPr="00190AB0">
        <w:rPr>
          <w:rFonts w:ascii="Times New Roman" w:hAnsi="Times New Roman"/>
          <w:sz w:val="28"/>
          <w:szCs w:val="28"/>
        </w:rPr>
        <w:t>»</w:t>
      </w:r>
      <w:r w:rsidR="00904376">
        <w:rPr>
          <w:rFonts w:ascii="Times New Roman" w:hAnsi="Times New Roman"/>
          <w:sz w:val="28"/>
          <w:szCs w:val="28"/>
        </w:rPr>
        <w:t>.</w:t>
      </w:r>
    </w:p>
    <w:p w:rsidR="00AC33A7" w:rsidRPr="00321A77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AC33A7" w:rsidRPr="00321A77" w:rsidRDefault="00AC33A7" w:rsidP="00AC33A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96979" w:rsidRPr="00605C49" w:rsidRDefault="00AC33A7" w:rsidP="00AC33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242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организации донорства, порядках отбора доноров, абсолютных и относительных противопоказаниях к донорству, организации хранения и выдачи препаратов крови.</w:t>
      </w:r>
    </w:p>
    <w:p w:rsidR="00696979" w:rsidRPr="00AC33A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96979" w:rsidRPr="00321A77" w:rsidTr="00EF20E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696979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>Производственная т</w:t>
            </w:r>
            <w:r w:rsidR="00605C49">
              <w:rPr>
                <w:rFonts w:ascii="Times New Roman" w:hAnsi="Times New Roman"/>
                <w:sz w:val="28"/>
                <w:szCs w:val="28"/>
              </w:rPr>
              <w:t>р</w:t>
            </w: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ансфузиология. Служба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05C4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Порядок обследования.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Абсолютные и относительные (временные) противопоказания к различным видам донорства. 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Обеспечение вирусной безопасности компонентов крови. </w:t>
            </w:r>
          </w:p>
          <w:p w:rsidR="00605C49" w:rsidRPr="00605C49" w:rsidRDefault="00904376" w:rsidP="0090437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 xml:space="preserve">Организация карантина плазмы. </w:t>
            </w:r>
          </w:p>
          <w:p w:rsidR="00696979" w:rsidRPr="00605C49" w:rsidRDefault="00904376" w:rsidP="00605C4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376">
              <w:rPr>
                <w:rFonts w:ascii="Times New Roman" w:hAnsi="Times New Roman"/>
                <w:sz w:val="28"/>
                <w:szCs w:val="28"/>
              </w:rPr>
              <w:t>Условия хранения и выдачи препаратов крови</w:t>
            </w:r>
          </w:p>
        </w:tc>
      </w:tr>
      <w:tr w:rsidR="00696979" w:rsidRPr="00321A77" w:rsidTr="00EF20E3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979" w:rsidRPr="00321A77" w:rsidRDefault="00696979" w:rsidP="00EF20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96979" w:rsidRPr="00321A77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96979" w:rsidRPr="00BD7181" w:rsidRDefault="00696979" w:rsidP="00EF20E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96979" w:rsidRPr="00321A77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96979" w:rsidRPr="00BD7181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696979" w:rsidRDefault="00696979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Иммунологические основы переливания крови - определение групповой принадлежности крови по системе АВО (простая, перекрестная реакция, с цоликлонами) -</w:t>
      </w:r>
      <w:r w:rsidR="00605C49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>причины ошибок при определ</w:t>
      </w:r>
      <w:r w:rsidR="00605C49">
        <w:rPr>
          <w:rFonts w:ascii="Times New Roman" w:hAnsi="Times New Roman"/>
          <w:sz w:val="28"/>
          <w:szCs w:val="28"/>
        </w:rPr>
        <w:t>ении групповой принадлежности -</w:t>
      </w:r>
      <w:r w:rsidRPr="00904376">
        <w:rPr>
          <w:rFonts w:ascii="Times New Roman" w:hAnsi="Times New Roman"/>
          <w:sz w:val="28"/>
          <w:szCs w:val="28"/>
        </w:rPr>
        <w:t>использование моноклональных реагентов. Определение резус-принадлежности. Другие</w:t>
      </w:r>
      <w:r>
        <w:rPr>
          <w:rFonts w:ascii="Times New Roman" w:hAnsi="Times New Roman"/>
          <w:sz w:val="28"/>
          <w:szCs w:val="28"/>
        </w:rPr>
        <w:t xml:space="preserve"> антигенные системы эритроцитов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05C49">
        <w:rPr>
          <w:rFonts w:ascii="Times New Roman" w:hAnsi="Times New Roman"/>
          <w:color w:val="000000"/>
          <w:sz w:val="28"/>
          <w:szCs w:val="28"/>
        </w:rPr>
        <w:t>формирование представления об иммунологических основах переливания крови (групп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ах </w:t>
      </w:r>
      <w:r w:rsidR="00605C49">
        <w:rPr>
          <w:rFonts w:ascii="Times New Roman" w:hAnsi="Times New Roman"/>
          <w:color w:val="000000"/>
          <w:sz w:val="28"/>
          <w:szCs w:val="28"/>
        </w:rPr>
        <w:t xml:space="preserve">крови </w:t>
      </w:r>
      <w:r w:rsidR="00900851">
        <w:rPr>
          <w:rFonts w:ascii="Times New Roman" w:hAnsi="Times New Roman"/>
          <w:color w:val="000000"/>
          <w:sz w:val="28"/>
          <w:szCs w:val="28"/>
        </w:rPr>
        <w:t xml:space="preserve">по системам </w:t>
      </w:r>
      <w:r w:rsidR="00605C49">
        <w:rPr>
          <w:rFonts w:ascii="Times New Roman" w:hAnsi="Times New Roman"/>
          <w:color w:val="000000"/>
          <w:sz w:val="28"/>
          <w:szCs w:val="28"/>
        </w:rPr>
        <w:t>АВ0</w:t>
      </w:r>
      <w:r w:rsidR="00900851">
        <w:rPr>
          <w:rFonts w:ascii="Times New Roman" w:hAnsi="Times New Roman"/>
          <w:color w:val="000000"/>
          <w:sz w:val="28"/>
          <w:szCs w:val="28"/>
        </w:rPr>
        <w:t>, резус, других систем и их клиническом значении</w:t>
      </w:r>
      <w:r w:rsidR="00605C49">
        <w:rPr>
          <w:rFonts w:ascii="Times New Roman" w:hAnsi="Times New Roman"/>
          <w:color w:val="000000"/>
          <w:sz w:val="28"/>
          <w:szCs w:val="28"/>
        </w:rPr>
        <w:t>)</w:t>
      </w:r>
      <w:r w:rsidR="00900851">
        <w:rPr>
          <w:rFonts w:ascii="Times New Roman" w:hAnsi="Times New Roman"/>
          <w:color w:val="000000"/>
          <w:sz w:val="28"/>
          <w:szCs w:val="28"/>
        </w:rPr>
        <w:t>.</w:t>
      </w:r>
    </w:p>
    <w:p w:rsidR="00900851" w:rsidRPr="00605C49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Иммунологические основы переливания крови - определение групповой принадлежности крови по системе АВО (простая, перекрестная реакция, с цоликлон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ами)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>ричины ошибок при опред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елении групповой принадлежности. 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Использование моноклональных реагентов.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Определение резус-принадлежности.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Другие антигенные системы эритроцитов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Порядок подготовки к переливанию компонентов крови. Деонтология в трансфузиологии. Порядок мероприятий, проводимых перед трансфузиями. Оформление протокола переливания эритроцитсодержащих сред. Оформление протокола переливания плазмы Наблюдение за пациентом после гемотрансфузии. Показания к переливанию гемотран</w:t>
      </w:r>
      <w:r w:rsidR="00605C49">
        <w:rPr>
          <w:rFonts w:ascii="Times New Roman" w:hAnsi="Times New Roman"/>
          <w:sz w:val="28"/>
          <w:szCs w:val="28"/>
        </w:rPr>
        <w:t>фузионных сред. Препараты крови.</w:t>
      </w:r>
      <w:r w:rsidRPr="00904376">
        <w:rPr>
          <w:rFonts w:ascii="Times New Roman" w:hAnsi="Times New Roman"/>
          <w:sz w:val="28"/>
          <w:szCs w:val="28"/>
        </w:rPr>
        <w:t xml:space="preserve"> Класси</w:t>
      </w:r>
      <w:r w:rsidR="00605C49">
        <w:rPr>
          <w:rFonts w:ascii="Times New Roman" w:hAnsi="Times New Roman"/>
          <w:sz w:val="28"/>
          <w:szCs w:val="28"/>
        </w:rPr>
        <w:t>фикация.</w:t>
      </w:r>
      <w:r>
        <w:rPr>
          <w:rFonts w:ascii="Times New Roman" w:hAnsi="Times New Roman"/>
          <w:sz w:val="28"/>
          <w:szCs w:val="28"/>
        </w:rPr>
        <w:t xml:space="preserve"> Клиническое применение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90085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851">
        <w:rPr>
          <w:rFonts w:ascii="Times New Roman" w:hAnsi="Times New Roman"/>
          <w:color w:val="000000"/>
          <w:sz w:val="28"/>
          <w:szCs w:val="28"/>
        </w:rPr>
        <w:t>формирование представления о подготовке и проведении гемотрансфузии, посттрансфузионном наблюдении за пациентом.</w:t>
      </w:r>
    </w:p>
    <w:p w:rsidR="00900851" w:rsidRPr="0052420D" w:rsidRDefault="00900851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Порядок подготовки к переливанию компонентов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Деонтология в трансфузиологии.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Порядок мероприятий, проводимых перед трансфузиями.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Оформление протокола переливания эритроцитсодержащих сред. Оформление протокола переливания плазмы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Наблюдение за пациентом после гемотрансфузии.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Показания к переливанию гемотранфузионных сред.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Препараты крови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 Классификация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05C49">
              <w:rPr>
                <w:rFonts w:ascii="Times New Roman" w:hAnsi="Times New Roman"/>
                <w:sz w:val="28"/>
                <w:szCs w:val="28"/>
              </w:rPr>
              <w:t xml:space="preserve"> Клиническое применение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Классификация осложнений после переливания компонентов крови. Лечение острого гемолитического посттрансфузионного осложнений. Осложнения, связанные с недоброкачественной трансфузионной средой. Синдром массивных трансфузий. Трансфузионная иммуносупрессия, трансфузионное заражение вирусными инфекциями. Аллергические реакции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9100B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00B1">
        <w:rPr>
          <w:rFonts w:ascii="Times New Roman" w:hAnsi="Times New Roman"/>
          <w:color w:val="000000"/>
          <w:sz w:val="28"/>
          <w:szCs w:val="28"/>
        </w:rPr>
        <w:t>формирование представления о посттрансузионных осложнениях, их причинах, классификации, клинических и лабораторно-инструментальных проявлениях, методах лечения.</w:t>
      </w: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Классификация осложнений после переливания компонентов крови.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Лечение острого гемолитического посттрансфузионного осложнений.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Осложнения, связанные с недоброкачественной трансфузионной средой.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Синдром массивных трансфузий.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Трансфузионная иммуносупрессия, трансфузионное заражение вирусными инфекциями.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Аллергические реакции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p w:rsidR="00904376" w:rsidRDefault="00904376" w:rsidP="0069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376" w:rsidRPr="00190AB0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7A2DC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2DC6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Клиническая иммунология и трансфузиология</w:t>
      </w:r>
      <w:r w:rsidRPr="007A2DC6">
        <w:rPr>
          <w:rFonts w:ascii="Times New Roman" w:hAnsi="Times New Roman"/>
          <w:sz w:val="28"/>
          <w:szCs w:val="28"/>
        </w:rPr>
        <w:t>»</w:t>
      </w:r>
    </w:p>
    <w:p w:rsidR="00904376" w:rsidRPr="007A2DC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C6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190AB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90AB0">
        <w:rPr>
          <w:rFonts w:ascii="Times New Roman" w:hAnsi="Times New Roman"/>
          <w:sz w:val="28"/>
          <w:szCs w:val="28"/>
        </w:rPr>
        <w:t>«</w:t>
      </w:r>
      <w:r w:rsidRPr="00904376">
        <w:rPr>
          <w:rFonts w:ascii="Times New Roman" w:hAnsi="Times New Roman"/>
          <w:sz w:val="28"/>
          <w:szCs w:val="28"/>
        </w:rPr>
        <w:t>Аутодонорство. Преимущества и показания к аутодонорству, противопоказания к аутодонорству.</w:t>
      </w:r>
      <w:r w:rsidR="000355CE">
        <w:rPr>
          <w:rFonts w:ascii="Times New Roman" w:hAnsi="Times New Roman"/>
          <w:sz w:val="28"/>
          <w:szCs w:val="28"/>
        </w:rPr>
        <w:t xml:space="preserve"> </w:t>
      </w:r>
      <w:r w:rsidRPr="00904376">
        <w:rPr>
          <w:rFonts w:ascii="Times New Roman" w:hAnsi="Times New Roman"/>
          <w:sz w:val="28"/>
          <w:szCs w:val="28"/>
        </w:rPr>
        <w:t>Обследование аутодонора. Экстракорпоральные метод</w:t>
      </w:r>
      <w:r>
        <w:rPr>
          <w:rFonts w:ascii="Times New Roman" w:hAnsi="Times New Roman"/>
          <w:sz w:val="28"/>
          <w:szCs w:val="28"/>
        </w:rPr>
        <w:t>ы лечения. Лечебный плазмаферез</w:t>
      </w:r>
      <w:r w:rsidRPr="00190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занятие.</w:t>
      </w:r>
    </w:p>
    <w:p w:rsidR="00904376" w:rsidRPr="00321A77" w:rsidRDefault="00904376" w:rsidP="009043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4376" w:rsidRPr="000355CE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55CE">
        <w:rPr>
          <w:rFonts w:ascii="Times New Roman" w:hAnsi="Times New Roman"/>
          <w:color w:val="000000"/>
          <w:sz w:val="28"/>
          <w:szCs w:val="28"/>
        </w:rPr>
        <w:t>формирование представления об аутодонорстве, его особенностях</w:t>
      </w:r>
      <w:r w:rsidR="000355CE" w:rsidRPr="000355CE">
        <w:rPr>
          <w:rFonts w:ascii="Times New Roman" w:hAnsi="Times New Roman"/>
          <w:color w:val="000000"/>
          <w:sz w:val="28"/>
          <w:szCs w:val="28"/>
        </w:rPr>
        <w:t>;</w:t>
      </w:r>
      <w:r w:rsidR="000355CE">
        <w:rPr>
          <w:rFonts w:ascii="Times New Roman" w:hAnsi="Times New Roman"/>
          <w:color w:val="000000"/>
          <w:sz w:val="28"/>
          <w:szCs w:val="28"/>
        </w:rPr>
        <w:t xml:space="preserve"> об экстракорпоральных методах лечения.</w:t>
      </w:r>
    </w:p>
    <w:p w:rsidR="00904376" w:rsidRPr="00AC33A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тестирование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4376" w:rsidRPr="00321A77" w:rsidTr="0090437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04376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FB2FD2">
              <w:rPr>
                <w:rFonts w:ascii="Times New Roman" w:hAnsi="Times New Roman"/>
                <w:color w:val="000000"/>
                <w:sz w:val="28"/>
                <w:szCs w:val="28"/>
              </w:rPr>
              <w:t>– устный опрос.</w:t>
            </w:r>
          </w:p>
          <w:p w:rsidR="00904376" w:rsidRPr="00605C49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рассмотрения</w:t>
            </w:r>
            <w:r w:rsidRPr="00605C49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Аутодонорство. 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Преимущества и показания к аутодонорству, противопоказания к аутодонорству.</w:t>
            </w:r>
          </w:p>
          <w:p w:rsidR="00605C49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 xml:space="preserve">Обследование аутодонора. </w:t>
            </w:r>
          </w:p>
          <w:p w:rsidR="00904376" w:rsidRPr="00605C49" w:rsidRDefault="00605C49" w:rsidP="00605C49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05C49">
              <w:rPr>
                <w:rFonts w:ascii="Times New Roman" w:hAnsi="Times New Roman"/>
                <w:sz w:val="28"/>
                <w:szCs w:val="28"/>
              </w:rPr>
              <w:t>Экстракорпоральные методы лечения. Лечебный плазмаферез</w:t>
            </w:r>
          </w:p>
        </w:tc>
      </w:tr>
      <w:tr w:rsidR="00904376" w:rsidRPr="00321A77" w:rsidTr="00904376">
        <w:trPr>
          <w:trHeight w:val="116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376" w:rsidRPr="00321A77" w:rsidRDefault="00904376" w:rsidP="009043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04376" w:rsidRPr="00321A77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04376" w:rsidRPr="00BD7181" w:rsidRDefault="00904376" w:rsidP="0090437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</w:p>
        </w:tc>
      </w:tr>
    </w:tbl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04376" w:rsidRPr="00321A77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04376" w:rsidRPr="00BD7181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 дидактические (таблицы, схемы, плакаты, раздаточный материал);</w:t>
      </w:r>
    </w:p>
    <w:p w:rsidR="00904376" w:rsidRDefault="00904376" w:rsidP="009043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718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7181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доска, мультимедийный проектор).</w:t>
      </w:r>
    </w:p>
    <w:sectPr w:rsidR="00904376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B5" w:rsidRDefault="00434CB5" w:rsidP="00CF7355">
      <w:pPr>
        <w:spacing w:after="0" w:line="240" w:lineRule="auto"/>
      </w:pPr>
      <w:r>
        <w:separator/>
      </w:r>
    </w:p>
  </w:endnote>
  <w:endnote w:type="continuationSeparator" w:id="0">
    <w:p w:rsidR="00434CB5" w:rsidRDefault="00434CB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bas Neue">
    <w:altName w:val="Arial Narrow"/>
    <w:charset w:val="00"/>
    <w:family w:val="swiss"/>
    <w:pitch w:val="variable"/>
    <w:sig w:usb0="00000001" w:usb1="0000004B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904376" w:rsidRDefault="00904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112">
          <w:rPr>
            <w:noProof/>
          </w:rPr>
          <w:t>2</w:t>
        </w:r>
        <w:r>
          <w:fldChar w:fldCharType="end"/>
        </w:r>
      </w:p>
    </w:sdtContent>
  </w:sdt>
  <w:p w:rsidR="00904376" w:rsidRDefault="009043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B5" w:rsidRDefault="00434CB5" w:rsidP="00CF7355">
      <w:pPr>
        <w:spacing w:after="0" w:line="240" w:lineRule="auto"/>
      </w:pPr>
      <w:r>
        <w:separator/>
      </w:r>
    </w:p>
  </w:footnote>
  <w:footnote w:type="continuationSeparator" w:id="0">
    <w:p w:rsidR="00434CB5" w:rsidRDefault="00434CB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470"/>
    <w:multiLevelType w:val="hybridMultilevel"/>
    <w:tmpl w:val="F69E9D5E"/>
    <w:lvl w:ilvl="0" w:tplc="452AD7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D1B6E"/>
    <w:multiLevelType w:val="hybridMultilevel"/>
    <w:tmpl w:val="144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06FA"/>
    <w:multiLevelType w:val="hybridMultilevel"/>
    <w:tmpl w:val="7ED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161"/>
    <w:multiLevelType w:val="hybridMultilevel"/>
    <w:tmpl w:val="AC40AF2A"/>
    <w:lvl w:ilvl="0" w:tplc="B63A8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FB1C5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2977159"/>
    <w:multiLevelType w:val="hybridMultilevel"/>
    <w:tmpl w:val="DD0466F4"/>
    <w:lvl w:ilvl="0" w:tplc="AFA270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A3552"/>
    <w:multiLevelType w:val="hybridMultilevel"/>
    <w:tmpl w:val="DD50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4FF0ACE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74828A9"/>
    <w:multiLevelType w:val="hybridMultilevel"/>
    <w:tmpl w:val="25B845B8"/>
    <w:lvl w:ilvl="0" w:tplc="B0FC4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4775EC"/>
    <w:multiLevelType w:val="hybridMultilevel"/>
    <w:tmpl w:val="478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C7CE4"/>
    <w:multiLevelType w:val="hybridMultilevel"/>
    <w:tmpl w:val="AE8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628C"/>
    <w:multiLevelType w:val="hybridMultilevel"/>
    <w:tmpl w:val="0B7C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5037C"/>
    <w:multiLevelType w:val="hybridMultilevel"/>
    <w:tmpl w:val="6BCCE5A6"/>
    <w:lvl w:ilvl="0" w:tplc="51FA6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CC26CA"/>
    <w:multiLevelType w:val="hybridMultilevel"/>
    <w:tmpl w:val="1EA4BC62"/>
    <w:lvl w:ilvl="0" w:tplc="8A6C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4A1553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F7E1FB6"/>
    <w:multiLevelType w:val="hybridMultilevel"/>
    <w:tmpl w:val="F886F8EE"/>
    <w:lvl w:ilvl="0" w:tplc="8F4A77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60FB4B30"/>
    <w:multiLevelType w:val="hybridMultilevel"/>
    <w:tmpl w:val="6CAC5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E29A4"/>
    <w:multiLevelType w:val="hybridMultilevel"/>
    <w:tmpl w:val="24C0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68374E"/>
    <w:multiLevelType w:val="hybridMultilevel"/>
    <w:tmpl w:val="60A0466A"/>
    <w:lvl w:ilvl="0" w:tplc="30D8515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8247BB"/>
    <w:multiLevelType w:val="hybridMultilevel"/>
    <w:tmpl w:val="5074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13"/>
  </w:num>
  <w:num w:numId="9">
    <w:abstractNumId w:val="19"/>
  </w:num>
  <w:num w:numId="10">
    <w:abstractNumId w:val="14"/>
  </w:num>
  <w:num w:numId="11">
    <w:abstractNumId w:val="23"/>
  </w:num>
  <w:num w:numId="12">
    <w:abstractNumId w:val="2"/>
  </w:num>
  <w:num w:numId="13">
    <w:abstractNumId w:val="7"/>
  </w:num>
  <w:num w:numId="14">
    <w:abstractNumId w:val="18"/>
  </w:num>
  <w:num w:numId="15">
    <w:abstractNumId w:val="5"/>
  </w:num>
  <w:num w:numId="16">
    <w:abstractNumId w:val="17"/>
  </w:num>
  <w:num w:numId="17">
    <w:abstractNumId w:val="9"/>
  </w:num>
  <w:num w:numId="18">
    <w:abstractNumId w:val="3"/>
  </w:num>
  <w:num w:numId="19">
    <w:abstractNumId w:val="10"/>
  </w:num>
  <w:num w:numId="20">
    <w:abstractNumId w:val="4"/>
  </w:num>
  <w:num w:numId="21">
    <w:abstractNumId w:val="22"/>
  </w:num>
  <w:num w:numId="22">
    <w:abstractNumId w:val="6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6258"/>
    <w:rsid w:val="000355CE"/>
    <w:rsid w:val="000356FD"/>
    <w:rsid w:val="000576EA"/>
    <w:rsid w:val="00066D18"/>
    <w:rsid w:val="000A24C2"/>
    <w:rsid w:val="000B0357"/>
    <w:rsid w:val="000B2CFB"/>
    <w:rsid w:val="000F27C6"/>
    <w:rsid w:val="00104C6C"/>
    <w:rsid w:val="00136B7E"/>
    <w:rsid w:val="00166A1B"/>
    <w:rsid w:val="00172AFF"/>
    <w:rsid w:val="00176828"/>
    <w:rsid w:val="00190AB0"/>
    <w:rsid w:val="00190DB4"/>
    <w:rsid w:val="002648DD"/>
    <w:rsid w:val="002749B5"/>
    <w:rsid w:val="002B5FA7"/>
    <w:rsid w:val="00302E54"/>
    <w:rsid w:val="00305C98"/>
    <w:rsid w:val="00321A77"/>
    <w:rsid w:val="003314E4"/>
    <w:rsid w:val="003413F9"/>
    <w:rsid w:val="00345FA3"/>
    <w:rsid w:val="0036410C"/>
    <w:rsid w:val="003A7817"/>
    <w:rsid w:val="003F3E1B"/>
    <w:rsid w:val="00434CB5"/>
    <w:rsid w:val="004711E5"/>
    <w:rsid w:val="004A7EDA"/>
    <w:rsid w:val="004B797F"/>
    <w:rsid w:val="004C79F3"/>
    <w:rsid w:val="00511905"/>
    <w:rsid w:val="0052420D"/>
    <w:rsid w:val="005260ED"/>
    <w:rsid w:val="00530C3D"/>
    <w:rsid w:val="00553032"/>
    <w:rsid w:val="00583126"/>
    <w:rsid w:val="00586A55"/>
    <w:rsid w:val="005913A0"/>
    <w:rsid w:val="00604800"/>
    <w:rsid w:val="00605C49"/>
    <w:rsid w:val="006127AB"/>
    <w:rsid w:val="00616B40"/>
    <w:rsid w:val="00670835"/>
    <w:rsid w:val="006818C7"/>
    <w:rsid w:val="00696979"/>
    <w:rsid w:val="006C4FF9"/>
    <w:rsid w:val="006D3C27"/>
    <w:rsid w:val="0075623B"/>
    <w:rsid w:val="00774A23"/>
    <w:rsid w:val="00780E5F"/>
    <w:rsid w:val="0079716A"/>
    <w:rsid w:val="007A2DC6"/>
    <w:rsid w:val="007B5EA9"/>
    <w:rsid w:val="007C4E55"/>
    <w:rsid w:val="007D75BA"/>
    <w:rsid w:val="00843CA4"/>
    <w:rsid w:val="00883FF0"/>
    <w:rsid w:val="00900851"/>
    <w:rsid w:val="00904376"/>
    <w:rsid w:val="009100B1"/>
    <w:rsid w:val="00951144"/>
    <w:rsid w:val="00984A4C"/>
    <w:rsid w:val="0098533B"/>
    <w:rsid w:val="00985508"/>
    <w:rsid w:val="009945ED"/>
    <w:rsid w:val="009967F1"/>
    <w:rsid w:val="009B26FA"/>
    <w:rsid w:val="009E08F9"/>
    <w:rsid w:val="009E2BCD"/>
    <w:rsid w:val="009E5A34"/>
    <w:rsid w:val="00A10662"/>
    <w:rsid w:val="00A20C7A"/>
    <w:rsid w:val="00A45FDC"/>
    <w:rsid w:val="00AC33A7"/>
    <w:rsid w:val="00AE45A2"/>
    <w:rsid w:val="00AE75A9"/>
    <w:rsid w:val="00B120E9"/>
    <w:rsid w:val="00B32201"/>
    <w:rsid w:val="00B32279"/>
    <w:rsid w:val="00B5427F"/>
    <w:rsid w:val="00BB5A89"/>
    <w:rsid w:val="00BB7112"/>
    <w:rsid w:val="00BC1A1D"/>
    <w:rsid w:val="00BC7354"/>
    <w:rsid w:val="00BD661B"/>
    <w:rsid w:val="00BD7181"/>
    <w:rsid w:val="00BE185C"/>
    <w:rsid w:val="00C05E63"/>
    <w:rsid w:val="00C11E98"/>
    <w:rsid w:val="00C30DAC"/>
    <w:rsid w:val="00C33FB9"/>
    <w:rsid w:val="00C525D7"/>
    <w:rsid w:val="00C640A5"/>
    <w:rsid w:val="00C72465"/>
    <w:rsid w:val="00CB74B9"/>
    <w:rsid w:val="00CC7447"/>
    <w:rsid w:val="00CF0CB1"/>
    <w:rsid w:val="00CF7355"/>
    <w:rsid w:val="00CF7FC4"/>
    <w:rsid w:val="00D0168C"/>
    <w:rsid w:val="00D223B5"/>
    <w:rsid w:val="00D42444"/>
    <w:rsid w:val="00D42DC9"/>
    <w:rsid w:val="00D500B2"/>
    <w:rsid w:val="00D5501D"/>
    <w:rsid w:val="00D669BD"/>
    <w:rsid w:val="00D83D94"/>
    <w:rsid w:val="00DA1FE4"/>
    <w:rsid w:val="00DC4EB5"/>
    <w:rsid w:val="00E20088"/>
    <w:rsid w:val="00E25503"/>
    <w:rsid w:val="00E72595"/>
    <w:rsid w:val="00EB1513"/>
    <w:rsid w:val="00EB30FD"/>
    <w:rsid w:val="00EC5394"/>
    <w:rsid w:val="00EE208C"/>
    <w:rsid w:val="00EE3E05"/>
    <w:rsid w:val="00EF20E3"/>
    <w:rsid w:val="00F156F8"/>
    <w:rsid w:val="00F24751"/>
    <w:rsid w:val="00F51F0E"/>
    <w:rsid w:val="00F7674E"/>
    <w:rsid w:val="00F7720B"/>
    <w:rsid w:val="00FA5D02"/>
    <w:rsid w:val="00FB2FD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4CD8"/>
  <w15:docId w15:val="{9D0F124B-4967-4BE9-BDD3-FAD3BF3C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D01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3AD5-CF8F-419C-9D0D-3E334C36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65</cp:revision>
  <cp:lastPrinted>2019-03-20T10:39:00Z</cp:lastPrinted>
  <dcterms:created xsi:type="dcterms:W3CDTF">2019-02-26T07:21:00Z</dcterms:created>
  <dcterms:modified xsi:type="dcterms:W3CDTF">2019-12-20T03:51:00Z</dcterms:modified>
</cp:coreProperties>
</file>