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Default="0093098E" w:rsidP="00A25EE3">
      <w:pPr>
        <w:jc w:val="center"/>
        <w:rPr>
          <w:b/>
          <w:sz w:val="28"/>
          <w:szCs w:val="28"/>
          <w:u w:val="single"/>
        </w:rPr>
      </w:pPr>
      <w:r w:rsidRPr="0093098E">
        <w:rPr>
          <w:b/>
          <w:sz w:val="28"/>
          <w:szCs w:val="28"/>
          <w:u w:val="single"/>
        </w:rPr>
        <w:t>КЛИНИЧЕСКАЯ ФАРМАКОЛОГИЯ В ДЕТСКОЙ КАРДИОЛОГИИ</w:t>
      </w:r>
    </w:p>
    <w:p w:rsidR="0093098E" w:rsidRPr="00A25EE3" w:rsidRDefault="0093098E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6D2C69">
        <w:rPr>
          <w:b/>
          <w:sz w:val="28"/>
          <w:u w:val="single"/>
        </w:rPr>
        <w:t>3</w:t>
      </w:r>
      <w:r w:rsidRPr="00A25EE3">
        <w:rPr>
          <w:b/>
          <w:sz w:val="28"/>
          <w:u w:val="single"/>
        </w:rPr>
        <w:t xml:space="preserve"> </w:t>
      </w:r>
      <w:r w:rsidR="006D2C69">
        <w:rPr>
          <w:b/>
          <w:sz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6D2C69">
        <w:rPr>
          <w:color w:val="000000"/>
          <w:sz w:val="24"/>
          <w:szCs w:val="24"/>
        </w:rPr>
        <w:t>ования по специальности 31.08.13</w:t>
      </w:r>
      <w:r w:rsidRPr="00A25EE3">
        <w:rPr>
          <w:color w:val="000000"/>
          <w:sz w:val="24"/>
          <w:szCs w:val="24"/>
        </w:rPr>
        <w:t xml:space="preserve"> «</w:t>
      </w:r>
      <w:r w:rsidR="006D2C69">
        <w:rPr>
          <w:color w:val="000000"/>
          <w:sz w:val="24"/>
          <w:szCs w:val="24"/>
        </w:rPr>
        <w:t>Детская кардиология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B33210" w:rsidP="00F5136B">
      <w:pPr>
        <w:ind w:firstLine="709"/>
        <w:jc w:val="center"/>
        <w:rPr>
          <w:sz w:val="28"/>
        </w:rPr>
      </w:pPr>
      <w:r w:rsidRPr="00B3321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116"/>
        <w:gridCol w:w="2723"/>
        <w:gridCol w:w="2149"/>
        <w:gridCol w:w="1968"/>
      </w:tblGrid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D41AF" w:rsidRPr="008D41AF">
              <w:rPr>
                <w:sz w:val="26"/>
                <w:szCs w:val="26"/>
              </w:rPr>
              <w:t>Общие вопр</w:t>
            </w:r>
            <w:r w:rsidR="008D41AF" w:rsidRPr="008D41AF">
              <w:rPr>
                <w:sz w:val="26"/>
                <w:szCs w:val="26"/>
              </w:rPr>
              <w:t>о</w:t>
            </w:r>
            <w:r w:rsidR="008D41AF" w:rsidRPr="008D41AF">
              <w:rPr>
                <w:sz w:val="26"/>
                <w:szCs w:val="26"/>
              </w:rPr>
              <w:t>сы клинической фармакол</w:t>
            </w:r>
            <w:r w:rsidR="008D41AF" w:rsidRPr="008D41AF">
              <w:rPr>
                <w:sz w:val="26"/>
                <w:szCs w:val="26"/>
              </w:rPr>
              <w:t>о</w:t>
            </w:r>
            <w:r w:rsidR="008D41AF" w:rsidRPr="008D41AF">
              <w:rPr>
                <w:sz w:val="26"/>
                <w:szCs w:val="26"/>
              </w:rPr>
              <w:t>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 w:rsidRPr="00A25EE3">
              <w:rPr>
                <w:sz w:val="26"/>
                <w:szCs w:val="26"/>
              </w:rPr>
              <w:t>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 xml:space="preserve">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D41AF" w:rsidRPr="008D41AF">
              <w:rPr>
                <w:sz w:val="26"/>
                <w:szCs w:val="26"/>
              </w:rPr>
              <w:t>Клиническая фа</w:t>
            </w:r>
            <w:r w:rsidR="008D41AF" w:rsidRPr="008D41AF">
              <w:rPr>
                <w:sz w:val="26"/>
                <w:szCs w:val="26"/>
              </w:rPr>
              <w:t>р</w:t>
            </w:r>
            <w:r w:rsidR="008D41AF" w:rsidRPr="008D41AF">
              <w:rPr>
                <w:sz w:val="26"/>
                <w:szCs w:val="26"/>
              </w:rPr>
              <w:t>макология преп</w:t>
            </w:r>
            <w:r w:rsidR="008D41AF" w:rsidRPr="008D41AF">
              <w:rPr>
                <w:sz w:val="26"/>
                <w:szCs w:val="26"/>
              </w:rPr>
              <w:t>а</w:t>
            </w:r>
            <w:r w:rsidR="008D41AF" w:rsidRPr="008D41AF">
              <w:rPr>
                <w:sz w:val="26"/>
                <w:szCs w:val="26"/>
              </w:rPr>
              <w:t>ратов для лечения артериал</w:t>
            </w:r>
            <w:r w:rsidR="008D41AF" w:rsidRPr="008D41AF">
              <w:rPr>
                <w:sz w:val="26"/>
                <w:szCs w:val="26"/>
              </w:rPr>
              <w:t>ь</w:t>
            </w:r>
            <w:r w:rsidR="008D41AF" w:rsidRPr="008D41AF">
              <w:rPr>
                <w:sz w:val="26"/>
                <w:szCs w:val="26"/>
              </w:rPr>
              <w:t>ной гипе</w:t>
            </w:r>
            <w:r w:rsidR="008D41AF" w:rsidRPr="008D41AF">
              <w:rPr>
                <w:sz w:val="26"/>
                <w:szCs w:val="26"/>
              </w:rPr>
              <w:t>р</w:t>
            </w:r>
            <w:r w:rsidR="008D41AF" w:rsidRPr="008D41AF">
              <w:rPr>
                <w:sz w:val="26"/>
                <w:szCs w:val="26"/>
              </w:rPr>
              <w:t>тензии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D41AF" w:rsidRPr="008D41AF">
              <w:rPr>
                <w:sz w:val="26"/>
                <w:szCs w:val="26"/>
              </w:rPr>
              <w:t>Клиническая фа</w:t>
            </w:r>
            <w:r w:rsidR="008D41AF" w:rsidRPr="008D41AF">
              <w:rPr>
                <w:sz w:val="26"/>
                <w:szCs w:val="26"/>
              </w:rPr>
              <w:t>р</w:t>
            </w:r>
            <w:r w:rsidR="008D41AF" w:rsidRPr="008D41AF">
              <w:rPr>
                <w:sz w:val="26"/>
                <w:szCs w:val="26"/>
              </w:rPr>
              <w:t>макология для лечения сердечной недостаточн</w:t>
            </w:r>
            <w:r w:rsidR="008D41AF" w:rsidRPr="008D41AF">
              <w:rPr>
                <w:sz w:val="26"/>
                <w:szCs w:val="26"/>
              </w:rPr>
              <w:t>о</w:t>
            </w:r>
            <w:r w:rsidR="008D41AF" w:rsidRPr="008D41AF">
              <w:rPr>
                <w:sz w:val="26"/>
                <w:szCs w:val="26"/>
              </w:rPr>
              <w:t>сти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D41AF" w:rsidRPr="008D41AF">
              <w:rPr>
                <w:sz w:val="26"/>
                <w:szCs w:val="26"/>
              </w:rPr>
              <w:t>Клиническая фа</w:t>
            </w:r>
            <w:r w:rsidR="008D41AF" w:rsidRPr="008D41AF">
              <w:rPr>
                <w:sz w:val="26"/>
                <w:szCs w:val="26"/>
              </w:rPr>
              <w:t>р</w:t>
            </w:r>
            <w:r w:rsidR="008D41AF" w:rsidRPr="008D41AF">
              <w:rPr>
                <w:sz w:val="26"/>
                <w:szCs w:val="26"/>
              </w:rPr>
              <w:lastRenderedPageBreak/>
              <w:t>макология антиаритмич</w:t>
            </w:r>
            <w:r w:rsidR="008D41AF" w:rsidRPr="008D41AF">
              <w:rPr>
                <w:sz w:val="26"/>
                <w:szCs w:val="26"/>
              </w:rPr>
              <w:t>е</w:t>
            </w:r>
            <w:r w:rsidR="008D41AF" w:rsidRPr="008D41AF">
              <w:rPr>
                <w:sz w:val="26"/>
                <w:szCs w:val="26"/>
              </w:rPr>
              <w:t>ских лекарственных средств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Работа над учебным </w:t>
            </w:r>
            <w:r w:rsidRPr="00A25EE3">
              <w:rPr>
                <w:sz w:val="26"/>
                <w:szCs w:val="26"/>
              </w:rPr>
              <w:lastRenderedPageBreak/>
              <w:t>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  <w:r w:rsidRPr="00A25EE3">
              <w:rPr>
                <w:sz w:val="26"/>
                <w:szCs w:val="26"/>
              </w:rPr>
              <w:lastRenderedPageBreak/>
              <w:t>– КСР, на базе практической подготовки</w:t>
            </w:r>
          </w:p>
        </w:tc>
      </w:tr>
      <w:tr w:rsidR="006D2C69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18C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D41AF" w:rsidRPr="008D41AF">
              <w:rPr>
                <w:sz w:val="26"/>
                <w:szCs w:val="26"/>
              </w:rPr>
              <w:t>Клиническая фа</w:t>
            </w:r>
            <w:r w:rsidR="008D41AF" w:rsidRPr="008D41AF">
              <w:rPr>
                <w:sz w:val="26"/>
                <w:szCs w:val="26"/>
              </w:rPr>
              <w:t>р</w:t>
            </w:r>
            <w:r w:rsidR="008D41AF" w:rsidRPr="008D41AF">
              <w:rPr>
                <w:sz w:val="26"/>
                <w:szCs w:val="26"/>
              </w:rPr>
              <w:t xml:space="preserve">макология </w:t>
            </w:r>
            <w:r w:rsidR="008D41AF">
              <w:rPr>
                <w:sz w:val="26"/>
                <w:szCs w:val="26"/>
              </w:rPr>
              <w:t>п</w:t>
            </w:r>
            <w:r w:rsidR="008D41AF" w:rsidRPr="008D41AF">
              <w:rPr>
                <w:sz w:val="26"/>
                <w:szCs w:val="26"/>
              </w:rPr>
              <w:t>ротивов</w:t>
            </w:r>
            <w:r w:rsidR="008D41AF" w:rsidRPr="008D41AF">
              <w:rPr>
                <w:sz w:val="26"/>
                <w:szCs w:val="26"/>
              </w:rPr>
              <w:t>и</w:t>
            </w:r>
            <w:r w:rsidR="008D41AF" w:rsidRPr="008D41AF">
              <w:rPr>
                <w:sz w:val="26"/>
                <w:szCs w:val="26"/>
              </w:rPr>
              <w:t>русных лека</w:t>
            </w:r>
            <w:r w:rsidR="008D41AF" w:rsidRPr="008D41AF">
              <w:rPr>
                <w:sz w:val="26"/>
                <w:szCs w:val="26"/>
              </w:rPr>
              <w:t>р</w:t>
            </w:r>
            <w:r w:rsidR="008D41AF" w:rsidRPr="008D41AF">
              <w:rPr>
                <w:sz w:val="26"/>
                <w:szCs w:val="26"/>
              </w:rPr>
              <w:t>ственных средств и сре</w:t>
            </w:r>
            <w:proofErr w:type="gramStart"/>
            <w:r w:rsidR="008D41AF" w:rsidRPr="008D41AF">
              <w:rPr>
                <w:sz w:val="26"/>
                <w:szCs w:val="26"/>
              </w:rPr>
              <w:t>дств дл</w:t>
            </w:r>
            <w:proofErr w:type="gramEnd"/>
            <w:r w:rsidR="008D41AF" w:rsidRPr="008D41AF">
              <w:rPr>
                <w:sz w:val="26"/>
                <w:szCs w:val="26"/>
              </w:rPr>
              <w:t>я л</w:t>
            </w:r>
            <w:r w:rsidR="008D41AF" w:rsidRPr="008D41AF">
              <w:rPr>
                <w:sz w:val="26"/>
                <w:szCs w:val="26"/>
              </w:rPr>
              <w:t>е</w:t>
            </w:r>
            <w:r w:rsidR="008D41AF" w:rsidRPr="008D41AF">
              <w:rPr>
                <w:sz w:val="26"/>
                <w:szCs w:val="26"/>
              </w:rPr>
              <w:t>чения грибковых и пар</w:t>
            </w:r>
            <w:r w:rsidR="008D41AF" w:rsidRPr="008D41AF">
              <w:rPr>
                <w:sz w:val="26"/>
                <w:szCs w:val="26"/>
              </w:rPr>
              <w:t>а</w:t>
            </w:r>
            <w:r w:rsidR="008D41AF" w:rsidRPr="008D41AF">
              <w:rPr>
                <w:sz w:val="26"/>
                <w:szCs w:val="26"/>
              </w:rPr>
              <w:t>зитарных заболев</w:t>
            </w:r>
            <w:r w:rsidR="008D41AF" w:rsidRPr="008D41AF">
              <w:rPr>
                <w:sz w:val="26"/>
                <w:szCs w:val="26"/>
              </w:rPr>
              <w:t>а</w:t>
            </w:r>
            <w:r w:rsidR="008D41AF" w:rsidRPr="008D41AF">
              <w:rPr>
                <w:sz w:val="26"/>
                <w:szCs w:val="26"/>
              </w:rPr>
              <w:t>ний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8D41AF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8D41AF">
              <w:rPr>
                <w:sz w:val="26"/>
                <w:szCs w:val="26"/>
              </w:rPr>
              <w:t>Клиническая фа</w:t>
            </w:r>
            <w:r w:rsidRPr="008D41AF">
              <w:rPr>
                <w:sz w:val="26"/>
                <w:szCs w:val="26"/>
              </w:rPr>
              <w:t>р</w:t>
            </w:r>
            <w:r w:rsidRPr="008D41AF">
              <w:rPr>
                <w:sz w:val="26"/>
                <w:szCs w:val="26"/>
              </w:rPr>
              <w:t>макология стер</w:t>
            </w:r>
            <w:r w:rsidRPr="008D41AF">
              <w:rPr>
                <w:sz w:val="26"/>
                <w:szCs w:val="26"/>
              </w:rPr>
              <w:t>о</w:t>
            </w:r>
            <w:r w:rsidRPr="008D41AF">
              <w:rPr>
                <w:sz w:val="26"/>
                <w:szCs w:val="26"/>
              </w:rPr>
              <w:t>идных и нестероидных против</w:t>
            </w:r>
            <w:r w:rsidRPr="008D41AF">
              <w:rPr>
                <w:sz w:val="26"/>
                <w:szCs w:val="26"/>
              </w:rPr>
              <w:t>о</w:t>
            </w:r>
            <w:r w:rsidRPr="008D41AF">
              <w:rPr>
                <w:sz w:val="26"/>
                <w:szCs w:val="26"/>
              </w:rPr>
              <w:t>воспалительных лека</w:t>
            </w:r>
            <w:r w:rsidRPr="008D41AF">
              <w:rPr>
                <w:sz w:val="26"/>
                <w:szCs w:val="26"/>
              </w:rPr>
              <w:t>р</w:t>
            </w:r>
            <w:r w:rsidRPr="008D41AF">
              <w:rPr>
                <w:sz w:val="26"/>
                <w:szCs w:val="26"/>
              </w:rPr>
              <w:t>ственных средств, имм</w:t>
            </w:r>
            <w:r w:rsidRPr="008D41AF">
              <w:rPr>
                <w:sz w:val="26"/>
                <w:szCs w:val="26"/>
              </w:rPr>
              <w:t>у</w:t>
            </w:r>
            <w:r w:rsidRPr="008D41AF">
              <w:rPr>
                <w:sz w:val="26"/>
                <w:szCs w:val="26"/>
              </w:rPr>
              <w:t xml:space="preserve">нодепрессантов и </w:t>
            </w:r>
            <w:proofErr w:type="spellStart"/>
            <w:r w:rsidRPr="008D41AF">
              <w:rPr>
                <w:sz w:val="26"/>
                <w:szCs w:val="26"/>
              </w:rPr>
              <w:t>цит</w:t>
            </w:r>
            <w:r w:rsidRPr="008D41AF">
              <w:rPr>
                <w:sz w:val="26"/>
                <w:szCs w:val="26"/>
              </w:rPr>
              <w:t>о</w:t>
            </w:r>
            <w:r w:rsidRPr="008D41AF">
              <w:rPr>
                <w:sz w:val="26"/>
                <w:szCs w:val="26"/>
              </w:rPr>
              <w:t>статиков</w:t>
            </w:r>
            <w:proofErr w:type="spellEnd"/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8D41AF">
              <w:rPr>
                <w:sz w:val="26"/>
                <w:szCs w:val="26"/>
              </w:rPr>
              <w:t>Клиническая фа</w:t>
            </w:r>
            <w:r w:rsidRPr="008D41AF">
              <w:rPr>
                <w:sz w:val="26"/>
                <w:szCs w:val="26"/>
              </w:rPr>
              <w:t>р</w:t>
            </w:r>
            <w:r w:rsidRPr="008D41AF">
              <w:rPr>
                <w:sz w:val="26"/>
                <w:szCs w:val="26"/>
              </w:rPr>
              <w:t xml:space="preserve">макология </w:t>
            </w:r>
            <w:proofErr w:type="spellStart"/>
            <w:r w:rsidRPr="008D41AF">
              <w:rPr>
                <w:sz w:val="26"/>
                <w:szCs w:val="26"/>
              </w:rPr>
              <w:t>ноотропов</w:t>
            </w:r>
            <w:proofErr w:type="spellEnd"/>
            <w:r w:rsidRPr="008D41AF">
              <w:rPr>
                <w:sz w:val="26"/>
                <w:szCs w:val="26"/>
              </w:rPr>
              <w:t xml:space="preserve">, </w:t>
            </w:r>
            <w:proofErr w:type="spellStart"/>
            <w:r w:rsidRPr="008D41AF">
              <w:rPr>
                <w:sz w:val="26"/>
                <w:szCs w:val="26"/>
              </w:rPr>
              <w:t>церебропротекторов</w:t>
            </w:r>
            <w:proofErr w:type="spellEnd"/>
            <w:r w:rsidRPr="008D41AF">
              <w:rPr>
                <w:sz w:val="26"/>
                <w:szCs w:val="26"/>
              </w:rPr>
              <w:t>, и лекарственных средств, влияющих на мозговой кровоток</w:t>
            </w:r>
            <w:proofErr w:type="gramStart"/>
            <w:r w:rsidRPr="008D41AF">
              <w:rPr>
                <w:sz w:val="26"/>
                <w:szCs w:val="26"/>
              </w:rPr>
              <w:t>.</w:t>
            </w:r>
            <w:r w:rsidRPr="00A25EE3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8D41AF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8D41AF">
              <w:rPr>
                <w:sz w:val="26"/>
                <w:szCs w:val="26"/>
              </w:rPr>
              <w:t>Клиническая фа</w:t>
            </w:r>
            <w:r w:rsidRPr="008D41AF">
              <w:rPr>
                <w:sz w:val="26"/>
                <w:szCs w:val="26"/>
              </w:rPr>
              <w:t>р</w:t>
            </w:r>
            <w:r w:rsidRPr="008D41AF">
              <w:rPr>
                <w:sz w:val="26"/>
                <w:szCs w:val="26"/>
              </w:rPr>
              <w:t>макология препаратов, применяемых в урген</w:t>
            </w:r>
            <w:r w:rsidRPr="008D41AF">
              <w:rPr>
                <w:sz w:val="26"/>
                <w:szCs w:val="26"/>
              </w:rPr>
              <w:t>т</w:t>
            </w:r>
            <w:r w:rsidRPr="008D41AF">
              <w:rPr>
                <w:sz w:val="26"/>
                <w:szCs w:val="26"/>
              </w:rPr>
              <w:t>ных ситуациях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8D41AF" w:rsidRPr="00A25EE3" w:rsidTr="00A25EE3">
        <w:tc>
          <w:tcPr>
            <w:tcW w:w="0" w:type="auto"/>
            <w:shd w:val="clear" w:color="auto" w:fill="auto"/>
          </w:tcPr>
          <w:p w:rsidR="008D41AF" w:rsidRPr="00A25EE3" w:rsidRDefault="008D41AF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8D41AF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8D41AF">
              <w:rPr>
                <w:sz w:val="26"/>
                <w:szCs w:val="26"/>
              </w:rPr>
              <w:t>Клиническая фа</w:t>
            </w:r>
            <w:r w:rsidRPr="008D41AF">
              <w:rPr>
                <w:sz w:val="26"/>
                <w:szCs w:val="26"/>
              </w:rPr>
              <w:t>р</w:t>
            </w:r>
            <w:r w:rsidRPr="008D41AF">
              <w:rPr>
                <w:sz w:val="26"/>
                <w:szCs w:val="26"/>
              </w:rPr>
              <w:t>макология иммунобиол</w:t>
            </w:r>
            <w:r w:rsidRPr="008D41AF">
              <w:rPr>
                <w:sz w:val="26"/>
                <w:szCs w:val="26"/>
              </w:rPr>
              <w:t>о</w:t>
            </w:r>
            <w:r w:rsidRPr="008D41AF">
              <w:rPr>
                <w:sz w:val="26"/>
                <w:szCs w:val="26"/>
              </w:rPr>
              <w:t>гических препаратов, пр</w:t>
            </w:r>
            <w:r>
              <w:rPr>
                <w:sz w:val="26"/>
                <w:szCs w:val="26"/>
              </w:rPr>
              <w:t>именяемых в детской кардиологии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альные сайты профе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сиональных ассоци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8D41AF" w:rsidRPr="00A25EE3" w:rsidRDefault="008D41AF" w:rsidP="00D74D82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 xml:space="preserve">Зафиксируйте все факты, которые относятся к этой проблеме, (и те, которые изложенные в ситуации, и те, которые вам известны из литературных источников и </w:t>
      </w:r>
      <w:r w:rsidRPr="00B13647">
        <w:rPr>
          <w:sz w:val="28"/>
        </w:rPr>
        <w:lastRenderedPageBreak/>
        <w:t>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Pr="00755609" w:rsidRDefault="00FB36A4" w:rsidP="008D41AF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6E" w:rsidRDefault="00F14B6E" w:rsidP="00FD5B6B">
      <w:r>
        <w:separator/>
      </w:r>
    </w:p>
  </w:endnote>
  <w:endnote w:type="continuationSeparator" w:id="0">
    <w:p w:rsidR="00F14B6E" w:rsidRDefault="00F14B6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D41AF">
      <w:rPr>
        <w:noProof/>
      </w:rPr>
      <w:t>11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6E" w:rsidRDefault="00F14B6E" w:rsidP="00FD5B6B">
      <w:r>
        <w:separator/>
      </w:r>
    </w:p>
  </w:footnote>
  <w:footnote w:type="continuationSeparator" w:id="0">
    <w:p w:rsidR="00F14B6E" w:rsidRDefault="00F14B6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18CE"/>
    <w:rsid w:val="0026698D"/>
    <w:rsid w:val="002C7EDF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E30D1"/>
    <w:rsid w:val="006847B8"/>
    <w:rsid w:val="00693E11"/>
    <w:rsid w:val="006D2C69"/>
    <w:rsid w:val="006F14A4"/>
    <w:rsid w:val="006F7AD8"/>
    <w:rsid w:val="00742208"/>
    <w:rsid w:val="00755609"/>
    <w:rsid w:val="0079237F"/>
    <w:rsid w:val="008113A5"/>
    <w:rsid w:val="00832D24"/>
    <w:rsid w:val="00845C7D"/>
    <w:rsid w:val="008D41AF"/>
    <w:rsid w:val="0093098E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3210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14B6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14</cp:revision>
  <dcterms:created xsi:type="dcterms:W3CDTF">2019-02-04T05:01:00Z</dcterms:created>
  <dcterms:modified xsi:type="dcterms:W3CDTF">2019-12-24T06:03:00Z</dcterms:modified>
</cp:coreProperties>
</file>