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26AE" w:rsidRDefault="00C426AE" w:rsidP="00C426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426AE" w:rsidRPr="002A6282" w:rsidRDefault="00C426AE" w:rsidP="00C426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ДЛЯ </w:t>
      </w:r>
      <w:r w:rsidRPr="002A6282">
        <w:rPr>
          <w:rFonts w:ascii="Times New Roman" w:hAnsi="Times New Roman"/>
          <w:b/>
          <w:caps/>
          <w:sz w:val="28"/>
          <w:szCs w:val="28"/>
        </w:rPr>
        <w:t xml:space="preserve">преподавателя по организации изучения дисциплины </w:t>
      </w:r>
    </w:p>
    <w:p w:rsidR="00C426AE" w:rsidRDefault="00C426AE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456C" w:rsidRPr="00C426AE" w:rsidRDefault="008A4DD4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426AE">
        <w:rPr>
          <w:rFonts w:ascii="Times New Roman" w:hAnsi="Times New Roman"/>
          <w:sz w:val="28"/>
          <w:szCs w:val="28"/>
        </w:rPr>
        <w:t>Инфектология</w:t>
      </w:r>
      <w:proofErr w:type="spellEnd"/>
    </w:p>
    <w:p w:rsidR="0026456C" w:rsidRPr="006F3CB8" w:rsidRDefault="0026456C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B5CB5" w:rsidRDefault="004B5CB5" w:rsidP="004B5CB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4B5CB5" w:rsidRDefault="004B5CB5" w:rsidP="004B5CB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B5CB5" w:rsidRDefault="004B5CB5" w:rsidP="004B5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06.06.01 Биологические науки</w:t>
      </w:r>
    </w:p>
    <w:p w:rsidR="004B5CB5" w:rsidRDefault="004B5CB5" w:rsidP="004B5C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направленность (профиль)</w:t>
      </w:r>
    </w:p>
    <w:p w:rsidR="004B5CB5" w:rsidRDefault="004B5CB5" w:rsidP="004B5C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Микробиология</w:t>
      </w:r>
    </w:p>
    <w:p w:rsidR="004B5CB5" w:rsidRDefault="004B5CB5" w:rsidP="004B5CB5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4B5CB5" w:rsidRDefault="004B5CB5" w:rsidP="004B5C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06.06.01 Биологические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4B5CB5" w:rsidRDefault="004B5CB5" w:rsidP="004B5C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11от 30 июня 2017</w:t>
      </w:r>
    </w:p>
    <w:p w:rsidR="00C426AE" w:rsidRDefault="00C426AE" w:rsidP="00C426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3DC9" w:rsidRPr="006F3CB8" w:rsidRDefault="00F73DC9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Cs/>
          <w:sz w:val="28"/>
          <w:szCs w:val="28"/>
        </w:rPr>
        <w:t xml:space="preserve">Форма </w:t>
      </w:r>
      <w:r w:rsidR="009B434E">
        <w:rPr>
          <w:rFonts w:ascii="Times New Roman" w:hAnsi="Times New Roman"/>
          <w:bCs/>
          <w:sz w:val="28"/>
          <w:szCs w:val="28"/>
        </w:rPr>
        <w:t>за</w:t>
      </w:r>
      <w:r w:rsidR="003D6C8C" w:rsidRPr="006F3CB8">
        <w:rPr>
          <w:rFonts w:ascii="Times New Roman" w:hAnsi="Times New Roman"/>
          <w:bCs/>
          <w:sz w:val="28"/>
          <w:szCs w:val="28"/>
        </w:rPr>
        <w:t>очная</w:t>
      </w: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058B" w:rsidRDefault="001E058B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058B" w:rsidRDefault="001E058B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058B" w:rsidRDefault="001E058B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058B" w:rsidRPr="006F3CB8" w:rsidRDefault="001E058B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Оренбург </w:t>
      </w: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2BF0" w:rsidRPr="006F3CB8" w:rsidRDefault="005A2BF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9CB" w:rsidRPr="006F3CB8" w:rsidRDefault="005559C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59CB" w:rsidRDefault="005559C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6F3CB8" w:rsidRDefault="00616B4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6F3CB8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6F3CB8" w:rsidRDefault="00E72595" w:rsidP="00B84F6B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F3CB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4DD4">
        <w:rPr>
          <w:rFonts w:ascii="Times New Roman" w:hAnsi="Times New Roman"/>
          <w:color w:val="000000"/>
          <w:sz w:val="28"/>
          <w:szCs w:val="28"/>
        </w:rPr>
        <w:t>. Роль микроорганизма в развитии инфекционного процесса</w:t>
      </w:r>
    </w:p>
    <w:p w:rsidR="00992E8F" w:rsidRPr="006F3CB8" w:rsidRDefault="00992E8F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2595" w:rsidRPr="006F3CB8" w:rsidRDefault="00E72595" w:rsidP="00B84F6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A4DD4" w:rsidRDefault="00E72595" w:rsidP="008A4DD4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6F3CB8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DD4" w:rsidRPr="008A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 и задачи </w:t>
      </w:r>
      <w:proofErr w:type="spellStart"/>
      <w:r w:rsidR="008A4DD4" w:rsidRPr="008A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инфектологии</w:t>
      </w:r>
      <w:proofErr w:type="spellEnd"/>
      <w:r w:rsidR="008A4DD4" w:rsidRPr="008A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Микроорганизмы, возбудители инфекционных процессов. Роль факторов патогенности микроорганизмов в развитии инфекционного процесса. Роль микро- и </w:t>
      </w:r>
      <w:proofErr w:type="spellStart"/>
      <w:r w:rsidR="008A4DD4" w:rsidRPr="008A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макроорганизма</w:t>
      </w:r>
      <w:proofErr w:type="spellEnd"/>
      <w:r w:rsidR="008A4DD4" w:rsidRPr="008A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развитии инфекционного процесса</w:t>
      </w:r>
    </w:p>
    <w:p w:rsidR="008A4DD4" w:rsidRDefault="008A4DD4" w:rsidP="008A4DD4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A4DD4" w:rsidRPr="008A4DD4" w:rsidRDefault="003314E4" w:rsidP="008A4DD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4DD4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8A4DD4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8A4DD4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r w:rsidR="008A4DD4" w:rsidRPr="008A4DD4">
        <w:rPr>
          <w:rFonts w:ascii="Times New Roman" w:hAnsi="Times New Roman"/>
          <w:color w:val="000000"/>
          <w:sz w:val="28"/>
          <w:szCs w:val="28"/>
        </w:rPr>
        <w:t>о в</w:t>
      </w:r>
      <w:r w:rsidR="008A4DD4" w:rsidRPr="008A4DD4">
        <w:rPr>
          <w:rFonts w:ascii="Times New Roman" w:hAnsi="Times New Roman"/>
          <w:sz w:val="28"/>
          <w:szCs w:val="28"/>
        </w:rPr>
        <w:t xml:space="preserve">озникновение, течение и исход </w:t>
      </w:r>
      <w:proofErr w:type="gramStart"/>
      <w:r w:rsidR="008A4DD4" w:rsidRPr="008A4DD4">
        <w:rPr>
          <w:rFonts w:ascii="Times New Roman" w:hAnsi="Times New Roman"/>
          <w:sz w:val="28"/>
          <w:szCs w:val="28"/>
        </w:rPr>
        <w:t>инфекционного процесса</w:t>
      </w:r>
      <w:proofErr w:type="gramEnd"/>
      <w:r w:rsidR="008A4DD4" w:rsidRPr="008A4DD4">
        <w:rPr>
          <w:rFonts w:ascii="Times New Roman" w:hAnsi="Times New Roman"/>
          <w:sz w:val="28"/>
          <w:szCs w:val="28"/>
        </w:rPr>
        <w:t xml:space="preserve"> обусловлен</w:t>
      </w:r>
      <w:r w:rsidR="008A4DD4">
        <w:rPr>
          <w:rFonts w:ascii="Times New Roman" w:hAnsi="Times New Roman"/>
          <w:sz w:val="28"/>
          <w:szCs w:val="28"/>
        </w:rPr>
        <w:t xml:space="preserve">ного </w:t>
      </w:r>
      <w:r w:rsidR="008A4DD4" w:rsidRPr="008A4DD4">
        <w:rPr>
          <w:rFonts w:ascii="Times New Roman" w:hAnsi="Times New Roman"/>
          <w:sz w:val="28"/>
          <w:szCs w:val="28"/>
        </w:rPr>
        <w:t xml:space="preserve">тремя движущими силами: патогенным микроорганизмом (с его количественными и качественными характеристиками); состоянием восприимчивого </w:t>
      </w:r>
      <w:proofErr w:type="spellStart"/>
      <w:r w:rsidR="008A4DD4" w:rsidRPr="008A4DD4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="008A4DD4" w:rsidRPr="008A4DD4">
        <w:rPr>
          <w:rFonts w:ascii="Times New Roman" w:hAnsi="Times New Roman"/>
          <w:sz w:val="28"/>
          <w:szCs w:val="28"/>
        </w:rPr>
        <w:t xml:space="preserve">; факторами внешней среды (т.е. экологическими), где происходит взаимодействие микроба с </w:t>
      </w:r>
      <w:proofErr w:type="spellStart"/>
      <w:r w:rsidR="008A4DD4" w:rsidRPr="008A4DD4">
        <w:rPr>
          <w:rFonts w:ascii="Times New Roman" w:hAnsi="Times New Roman"/>
          <w:sz w:val="28"/>
          <w:szCs w:val="28"/>
        </w:rPr>
        <w:t>макроорганизмом</w:t>
      </w:r>
      <w:proofErr w:type="spellEnd"/>
      <w:r w:rsidR="008A4DD4" w:rsidRPr="008A4DD4">
        <w:rPr>
          <w:rFonts w:ascii="Times New Roman" w:hAnsi="Times New Roman"/>
          <w:sz w:val="28"/>
          <w:szCs w:val="28"/>
        </w:rPr>
        <w:t>.</w:t>
      </w:r>
    </w:p>
    <w:p w:rsidR="005559CB" w:rsidRPr="006F3CB8" w:rsidRDefault="005559CB" w:rsidP="008A4DD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559CB" w:rsidRPr="006F3CB8" w:rsidRDefault="005559CB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6F3CB8" w:rsidRDefault="00E72595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A4DD4" w:rsidRPr="00991D93" w:rsidRDefault="00123869" w:rsidP="008A4DD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D93">
        <w:rPr>
          <w:rFonts w:ascii="Times New Roman" w:hAnsi="Times New Roman"/>
          <w:sz w:val="28"/>
          <w:szCs w:val="28"/>
        </w:rPr>
        <w:t xml:space="preserve"> В лекции даются определения понятий: </w:t>
      </w:r>
      <w:r w:rsidR="008A4DD4" w:rsidRPr="00991D93">
        <w:rPr>
          <w:rFonts w:ascii="Times New Roman" w:hAnsi="Times New Roman"/>
          <w:sz w:val="28"/>
          <w:szCs w:val="28"/>
        </w:rPr>
        <w:t>Патогенность – способность вида микробов вызывать инфекционный процесс у одного или нескольких видов организмов. Вирулентность - индивидуальный (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штаммовый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 xml:space="preserve">), фенотипический признак, мера патогенности в конкретном штамме. Патогенность микроорганизма реализуется 3-мя группами факторов: колонизации, вирулентности и персистенции. Факторы </w:t>
      </w:r>
      <w:proofErr w:type="gramStart"/>
      <w:r w:rsidR="008A4DD4" w:rsidRPr="00991D93">
        <w:rPr>
          <w:rFonts w:ascii="Times New Roman" w:hAnsi="Times New Roman"/>
          <w:sz w:val="28"/>
          <w:szCs w:val="28"/>
        </w:rPr>
        <w:t>колонизации  обеспечивают</w:t>
      </w:r>
      <w:proofErr w:type="gramEnd"/>
      <w:r w:rsidR="008A4DD4" w:rsidRPr="00991D93">
        <w:rPr>
          <w:rFonts w:ascii="Times New Roman" w:hAnsi="Times New Roman"/>
          <w:sz w:val="28"/>
          <w:szCs w:val="28"/>
        </w:rPr>
        <w:t xml:space="preserve"> способность патогена (патогенного микроорганизма) заселить определенную экологическую нишу в организме хозяина (как правило, у входных ворот инфекции): 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адгезины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бактериоцины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железосвязывающие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 xml:space="preserve"> белки и др. Факторы вирулентности обеспечивают способность патогена к инвазии (преодолению барьеров защиты, распространению) и поражению клеток, тканей, органов. К факторам вирулентности относятся токсины и ферменты «агрессии». Факторы персистенции обеспечивают способность патогена длительно </w:t>
      </w:r>
      <w:r w:rsidR="008A4DD4" w:rsidRPr="00991D93">
        <w:rPr>
          <w:rFonts w:ascii="Times New Roman" w:hAnsi="Times New Roman"/>
          <w:sz w:val="28"/>
          <w:szCs w:val="28"/>
        </w:rPr>
        <w:lastRenderedPageBreak/>
        <w:t>переживать в организме хозяина путем защиты от механизмов иммунитета (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иммуносупрессорное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 xml:space="preserve"> воздействие). Часто решающим фактором, определяющим во многом форму проявления, длительность, тяжесть и исход инфекционного процесса, является состояние 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 xml:space="preserve">, его </w:t>
      </w:r>
      <w:proofErr w:type="gramStart"/>
      <w:r w:rsidR="008A4DD4" w:rsidRPr="00991D93">
        <w:rPr>
          <w:rFonts w:ascii="Times New Roman" w:hAnsi="Times New Roman"/>
          <w:sz w:val="28"/>
          <w:szCs w:val="28"/>
        </w:rPr>
        <w:t>способность  механизмами</w:t>
      </w:r>
      <w:proofErr w:type="gramEnd"/>
      <w:r w:rsidR="008A4DD4" w:rsidRPr="00991D93">
        <w:rPr>
          <w:rFonts w:ascii="Times New Roman" w:hAnsi="Times New Roman"/>
          <w:sz w:val="28"/>
          <w:szCs w:val="28"/>
        </w:rPr>
        <w:t xml:space="preserve"> неспецифической (факторы естественной 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разистентности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 xml:space="preserve"> или факторы неспецифической резистентности) и специфической (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антигенспецифические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 xml:space="preserve"> механизмы, т.е. иммунный ответ) защиты уничтожить и удалить из организма микробы и продукты их жизнедеятельности. К факторам неспецифической резистентности относятся механические (кожа, слизистые), физико-химические (ферменты, лизоцим, рН и др.) и иммунобиологические барьеры (фагоцитоз, комплемент, интерфероны, защитные белки сыворотки крови и др.). Механизмы неспецифической защиты определяют бактерицидные свойства кожи, слизистых, крови и </w:t>
      </w:r>
      <w:proofErr w:type="gramStart"/>
      <w:r w:rsidR="008A4DD4" w:rsidRPr="00991D93">
        <w:rPr>
          <w:rFonts w:ascii="Times New Roman" w:hAnsi="Times New Roman"/>
          <w:sz w:val="28"/>
          <w:szCs w:val="28"/>
        </w:rPr>
        <w:t>других тканей</w:t>
      </w:r>
      <w:proofErr w:type="gramEnd"/>
      <w:r w:rsidR="008A4DD4" w:rsidRPr="00991D93">
        <w:rPr>
          <w:rFonts w:ascii="Times New Roman" w:hAnsi="Times New Roman"/>
          <w:sz w:val="28"/>
          <w:szCs w:val="28"/>
        </w:rPr>
        <w:t xml:space="preserve"> и органов. Неспецифическая защита от микроорганизмов реализуется по преимуществу с участием миелоидных клеток (моноцитов/макрофагов, 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нейтрофильных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 xml:space="preserve"> гранулоцитов и т.д.) и гуморальных составляющих – лизоцима, бета-лизинов, 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пропердина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 xml:space="preserve">; белков острой фазы, включая белки системы комплемента, </w:t>
      </w:r>
      <w:proofErr w:type="spellStart"/>
      <w:r w:rsidR="008A4DD4" w:rsidRPr="00991D93">
        <w:rPr>
          <w:rFonts w:ascii="Times New Roman" w:hAnsi="Times New Roman"/>
          <w:sz w:val="28"/>
          <w:szCs w:val="28"/>
        </w:rPr>
        <w:t>фибронектин</w:t>
      </w:r>
      <w:proofErr w:type="spellEnd"/>
      <w:r w:rsidR="008A4DD4" w:rsidRPr="00991D93">
        <w:rPr>
          <w:rFonts w:ascii="Times New Roman" w:hAnsi="Times New Roman"/>
          <w:sz w:val="28"/>
          <w:szCs w:val="28"/>
        </w:rPr>
        <w:t>, С-реактивный протеин и др. Факторы внешней среды.  Важность изучения микрофлоры внешней среды (почвы, воздуха, воды) определяется тем, что объекты внешней среды являются путями передачи инфекции. При изучении и оценке микрофлоры объектов внешней среды учитывается общее количество микробов в 1 м</w:t>
      </w:r>
      <w:r w:rsidR="008A4DD4" w:rsidRPr="00991D93">
        <w:rPr>
          <w:rFonts w:ascii="Times New Roman" w:hAnsi="Times New Roman"/>
          <w:sz w:val="28"/>
          <w:szCs w:val="28"/>
          <w:vertAlign w:val="superscript"/>
        </w:rPr>
        <w:t>3</w:t>
      </w:r>
      <w:r w:rsidR="008A4DD4" w:rsidRPr="00991D93">
        <w:rPr>
          <w:rFonts w:ascii="Times New Roman" w:hAnsi="Times New Roman"/>
          <w:sz w:val="28"/>
          <w:szCs w:val="28"/>
        </w:rPr>
        <w:t xml:space="preserve"> воздуха, их виды и патогенность. Это можно сделать только при помощи бактериологического метода, позволяющего подсчитать число колоний и, выделив чистые культуры, определить их вид. Для оценки санитарного состояния объектов внешней среды используются санитарно-показательные микробы.</w:t>
      </w: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6F3CB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6F3CB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6F3CB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-дидактические: </w:t>
      </w:r>
      <w:r w:rsidR="00B84F6B" w:rsidRPr="006F3CB8">
        <w:rPr>
          <w:rFonts w:ascii="Times New Roman" w:hAnsi="Times New Roman" w:cs="Times New Roman"/>
          <w:sz w:val="28"/>
          <w:szCs w:val="28"/>
        </w:rPr>
        <w:t>презентация, схемы</w:t>
      </w:r>
      <w:r w:rsidRPr="006F3CB8">
        <w:rPr>
          <w:rFonts w:ascii="Times New Roman" w:hAnsi="Times New Roman" w:cs="Times New Roman"/>
          <w:sz w:val="28"/>
          <w:szCs w:val="28"/>
        </w:rPr>
        <w:t>.</w:t>
      </w: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lastRenderedPageBreak/>
        <w:t>-материально-технические: мел, доска, мультимедийный проектор.</w:t>
      </w: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1D93" w:rsidRDefault="00991D93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1D93" w:rsidRPr="006F3CB8" w:rsidRDefault="00991D93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7817" w:rsidRPr="006F3CB8" w:rsidRDefault="005913A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6F3CB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6F3C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398C" w:rsidRPr="006F3CB8" w:rsidRDefault="0014532D" w:rsidP="0043398C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91D9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1D93">
        <w:rPr>
          <w:rFonts w:ascii="Times New Roman" w:hAnsi="Times New Roman"/>
          <w:color w:val="000000"/>
          <w:sz w:val="28"/>
          <w:szCs w:val="28"/>
        </w:rPr>
        <w:t xml:space="preserve">Роль </w:t>
      </w:r>
      <w:proofErr w:type="spellStart"/>
      <w:r w:rsidR="00991D93">
        <w:rPr>
          <w:rFonts w:ascii="Times New Roman" w:hAnsi="Times New Roman"/>
          <w:color w:val="000000"/>
          <w:sz w:val="28"/>
          <w:szCs w:val="28"/>
        </w:rPr>
        <w:t>макроорганизма</w:t>
      </w:r>
      <w:proofErr w:type="spellEnd"/>
      <w:r w:rsidR="00991D93">
        <w:rPr>
          <w:rFonts w:ascii="Times New Roman" w:hAnsi="Times New Roman"/>
          <w:color w:val="000000"/>
          <w:sz w:val="28"/>
          <w:szCs w:val="28"/>
        </w:rPr>
        <w:t xml:space="preserve"> и внешней среды в развитии инфекционного процесса</w:t>
      </w:r>
    </w:p>
    <w:p w:rsidR="0014532D" w:rsidRPr="006F3CB8" w:rsidRDefault="0014532D" w:rsidP="0043398C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</w:p>
    <w:p w:rsidR="00F230B6" w:rsidRDefault="0014532D" w:rsidP="00991D93">
      <w:pPr>
        <w:pStyle w:val="af4"/>
        <w:spacing w:line="240" w:lineRule="auto"/>
        <w:ind w:left="0" w:right="22" w:firstLine="7"/>
        <w:jc w:val="both"/>
        <w:rPr>
          <w:b/>
          <w:szCs w:val="28"/>
        </w:rPr>
      </w:pPr>
      <w:r w:rsidRPr="006F3CB8">
        <w:rPr>
          <w:rFonts w:cs="Times New Roman"/>
          <w:b/>
          <w:szCs w:val="28"/>
        </w:rPr>
        <w:t>Тема 1.</w:t>
      </w:r>
      <w:r w:rsidRPr="006F3CB8">
        <w:rPr>
          <w:rFonts w:cs="Times New Roman"/>
          <w:szCs w:val="28"/>
          <w:shd w:val="clear" w:color="auto" w:fill="FFFFFF"/>
        </w:rPr>
        <w:t xml:space="preserve"> </w:t>
      </w:r>
      <w:r w:rsidR="00991D93" w:rsidRPr="00991D93">
        <w:rPr>
          <w:rFonts w:cs="Times New Roman"/>
          <w:b/>
          <w:bCs/>
          <w:szCs w:val="28"/>
        </w:rPr>
        <w:t xml:space="preserve">Принципы и методы диагностики инфекционных заболеваний, используемые в </w:t>
      </w:r>
      <w:proofErr w:type="spellStart"/>
      <w:r w:rsidR="00991D93" w:rsidRPr="00991D93">
        <w:rPr>
          <w:rFonts w:cs="Times New Roman"/>
          <w:b/>
          <w:bCs/>
          <w:szCs w:val="28"/>
        </w:rPr>
        <w:t>инфектологии</w:t>
      </w:r>
      <w:proofErr w:type="spellEnd"/>
      <w:r w:rsidR="00991D93" w:rsidRPr="00991D93">
        <w:rPr>
          <w:rFonts w:cs="Times New Roman"/>
          <w:b/>
          <w:bCs/>
          <w:szCs w:val="28"/>
        </w:rPr>
        <w:t>.</w:t>
      </w:r>
    </w:p>
    <w:p w:rsidR="00991D93" w:rsidRDefault="00991D93" w:rsidP="0043398C">
      <w:pPr>
        <w:ind w:left="1620" w:hanging="1620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6F3CB8" w:rsidRDefault="0014532D" w:rsidP="0043398C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991D93" w:rsidRPr="00991D93" w:rsidRDefault="0014532D" w:rsidP="00991D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D93" w:rsidRPr="00991D93">
        <w:rPr>
          <w:rFonts w:ascii="Times New Roman" w:hAnsi="Times New Roman"/>
          <w:bCs/>
          <w:sz w:val="28"/>
          <w:szCs w:val="28"/>
        </w:rPr>
        <w:t>Изучить п</w:t>
      </w:r>
      <w:r w:rsidR="00991D93" w:rsidRPr="00991D93">
        <w:rPr>
          <w:rFonts w:ascii="Times New Roman" w:hAnsi="Times New Roman"/>
          <w:color w:val="000000"/>
          <w:sz w:val="28"/>
          <w:szCs w:val="28"/>
        </w:rPr>
        <w:t xml:space="preserve">ринципы и методы диагностики инфекционных заболеваний, используемые в </w:t>
      </w:r>
      <w:proofErr w:type="spellStart"/>
      <w:r w:rsidR="00991D93" w:rsidRPr="00991D93">
        <w:rPr>
          <w:rFonts w:ascii="Times New Roman" w:hAnsi="Times New Roman"/>
          <w:color w:val="000000"/>
          <w:sz w:val="28"/>
          <w:szCs w:val="28"/>
        </w:rPr>
        <w:t>инфектологии</w:t>
      </w:r>
      <w:proofErr w:type="spellEnd"/>
      <w:r w:rsidR="00991D93" w:rsidRPr="00991D93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6F3CB8" w:rsidRDefault="0014532D" w:rsidP="00991D93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6F3CB8" w:rsidTr="0043398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6F3CB8" w:rsidRDefault="00DF4CAF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6F3CB8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6F3CB8" w:rsidRDefault="00DF4CAF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991D93" w:rsidRPr="00991D93" w:rsidRDefault="0014532D" w:rsidP="00991D9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1D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991D93" w:rsidRPr="00991D93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Освоить бактериологический метод диагностики.</w:t>
            </w:r>
          </w:p>
          <w:p w:rsidR="00991D93" w:rsidRPr="00991D93" w:rsidRDefault="00DF4CAF" w:rsidP="00991D93">
            <w:pPr>
              <w:pStyle w:val="a4"/>
              <w:ind w:left="0" w:firstLine="0"/>
              <w:rPr>
                <w:sz w:val="28"/>
                <w:szCs w:val="28"/>
              </w:rPr>
            </w:pPr>
            <w:r w:rsidRPr="00991D93">
              <w:rPr>
                <w:sz w:val="28"/>
                <w:szCs w:val="28"/>
              </w:rPr>
              <w:t>2</w:t>
            </w:r>
            <w:r w:rsidR="0014532D" w:rsidRPr="00991D93">
              <w:rPr>
                <w:sz w:val="28"/>
                <w:szCs w:val="28"/>
              </w:rPr>
              <w:t>.</w:t>
            </w:r>
            <w:r w:rsidR="00DB7F1E" w:rsidRPr="00991D93">
              <w:rPr>
                <w:bCs/>
                <w:sz w:val="28"/>
                <w:szCs w:val="28"/>
              </w:rPr>
              <w:t xml:space="preserve"> </w:t>
            </w:r>
            <w:r w:rsidR="00991D93" w:rsidRPr="00991D93">
              <w:rPr>
                <w:sz w:val="28"/>
                <w:szCs w:val="28"/>
              </w:rPr>
              <w:t>Овладеть вирусологической диагностикой инфекционного заболевания.</w:t>
            </w:r>
          </w:p>
          <w:p w:rsidR="00991D93" w:rsidRPr="00991D93" w:rsidRDefault="00991D93" w:rsidP="00991D93">
            <w:pPr>
              <w:pStyle w:val="af2"/>
              <w:tabs>
                <w:tab w:val="left" w:pos="31"/>
              </w:tabs>
              <w:ind w:left="3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1D9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991D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и оценка результатов экспресс-диагностики </w:t>
            </w:r>
            <w:proofErr w:type="spellStart"/>
            <w:r w:rsidRPr="00991D93">
              <w:rPr>
                <w:rFonts w:ascii="Times New Roman" w:hAnsi="Times New Roman"/>
                <w:sz w:val="28"/>
                <w:szCs w:val="28"/>
                <w:lang w:eastAsia="en-US"/>
              </w:rPr>
              <w:t>хеликобактериоза</w:t>
            </w:r>
            <w:proofErr w:type="spellEnd"/>
            <w:r w:rsidRPr="00991D9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B7F1E" w:rsidRPr="006F3CB8" w:rsidRDefault="00DB7F1E" w:rsidP="00DB7F1E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6F3CB8" w:rsidRDefault="00DB7F1E" w:rsidP="00DB7F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3330B" w:rsidRPr="006F3CB8" w:rsidRDefault="0063330B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30B6" w:rsidRDefault="0014532D" w:rsidP="00F230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F230B6" w:rsidRDefault="0014532D" w:rsidP="00F230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</w:p>
    <w:p w:rsidR="00991D93" w:rsidRPr="0014532D" w:rsidRDefault="00991D93" w:rsidP="00991D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мел белый и цветной, доска, пробирка с исследуемым материалом «Испражнения», питательная среда для посева (чашка Петри с МПА), </w:t>
      </w:r>
      <w:r w:rsidRPr="0014532D">
        <w:rPr>
          <w:rFonts w:ascii="Times New Roman" w:hAnsi="Times New Roman"/>
          <w:sz w:val="28"/>
        </w:rPr>
        <w:t>выросшие на чашке Петри колонии 2-х типов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, пробирки со скошенным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суточные чистые культуры стафилококков и кишечных палочек, микроскопы (1 на двоих), предметные стекла, спиртовки, карандаши по стеклу, спички, анилиновый краситель (фуксин,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генциановый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фиолетовый), раствор йода, спирт,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чашка Петри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, дифференциально-диагностические тест-системы (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энтеротест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стафитест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), расшифровочные таблицы к тест-системам, лампы дневного освещения (индивидуальные)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4532D">
        <w:rPr>
          <w:rFonts w:ascii="Times New Roman" w:hAnsi="Times New Roman"/>
          <w:color w:val="000000"/>
          <w:sz w:val="28"/>
          <w:szCs w:val="28"/>
        </w:rPr>
        <w:t>микропрепарат из  везикул, окрашенный по методу Морозова-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Пашена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; культура клеток во флакончиках, поврежденная и неповрежденная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цитопатическим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действием вируса, яйцо с куриным эмбрионом, шприц, вируссодержащая жидкость, спиртовка, этиловый спирт, парафин, пипетки-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пастерки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, пинцет, ножницы; для работы по обнаружению и идентификации вируса: погибший от вируса натуральной оспы куриный эмбрион, пробирки со специфической иммунной сывороткой, эритроциты, физиологический раствор.</w:t>
      </w:r>
    </w:p>
    <w:p w:rsidR="00991D93" w:rsidRPr="0014532D" w:rsidRDefault="00991D93" w:rsidP="00991D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D93" w:rsidRPr="006F3CB8" w:rsidRDefault="00991D93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91D93" w:rsidRPr="006F3CB8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F5" w:rsidRDefault="005C71F5" w:rsidP="00CF7355">
      <w:pPr>
        <w:spacing w:after="0" w:line="240" w:lineRule="auto"/>
      </w:pPr>
      <w:r>
        <w:separator/>
      </w:r>
    </w:p>
  </w:endnote>
  <w:endnote w:type="continuationSeparator" w:id="0">
    <w:p w:rsidR="005C71F5" w:rsidRDefault="005C71F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5559CB" w:rsidRDefault="005559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C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F5" w:rsidRDefault="005C71F5" w:rsidP="00CF7355">
      <w:pPr>
        <w:spacing w:after="0" w:line="240" w:lineRule="auto"/>
      </w:pPr>
      <w:r>
        <w:separator/>
      </w:r>
    </w:p>
  </w:footnote>
  <w:footnote w:type="continuationSeparator" w:id="0">
    <w:p w:rsidR="005C71F5" w:rsidRDefault="005C71F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30ACC"/>
    <w:multiLevelType w:val="hybridMultilevel"/>
    <w:tmpl w:val="C1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E1484"/>
    <w:multiLevelType w:val="singleLevel"/>
    <w:tmpl w:val="6DCEF5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C653867"/>
    <w:multiLevelType w:val="singleLevel"/>
    <w:tmpl w:val="18421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3131E"/>
    <w:multiLevelType w:val="hybridMultilevel"/>
    <w:tmpl w:val="58A2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8"/>
  </w:num>
  <w:num w:numId="5">
    <w:abstractNumId w:val="11"/>
  </w:num>
  <w:num w:numId="6">
    <w:abstractNumId w:val="19"/>
  </w:num>
  <w:num w:numId="7">
    <w:abstractNumId w:val="15"/>
  </w:num>
  <w:num w:numId="8">
    <w:abstractNumId w:val="4"/>
  </w:num>
  <w:num w:numId="9">
    <w:abstractNumId w:val="21"/>
  </w:num>
  <w:num w:numId="10">
    <w:abstractNumId w:val="0"/>
  </w:num>
  <w:num w:numId="11">
    <w:abstractNumId w:val="17"/>
  </w:num>
  <w:num w:numId="12">
    <w:abstractNumId w:val="5"/>
  </w:num>
  <w:num w:numId="13">
    <w:abstractNumId w:val="22"/>
  </w:num>
  <w:num w:numId="14">
    <w:abstractNumId w:val="2"/>
  </w:num>
  <w:num w:numId="15">
    <w:abstractNumId w:val="16"/>
  </w:num>
  <w:num w:numId="16">
    <w:abstractNumId w:val="3"/>
  </w:num>
  <w:num w:numId="17">
    <w:abstractNumId w:val="14"/>
  </w:num>
  <w:num w:numId="18">
    <w:abstractNumId w:val="12"/>
  </w:num>
  <w:num w:numId="19">
    <w:abstractNumId w:val="7"/>
  </w:num>
  <w:num w:numId="20">
    <w:abstractNumId w:val="8"/>
  </w:num>
  <w:num w:numId="21">
    <w:abstractNumId w:val="2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1676"/>
    <w:rsid w:val="00030B39"/>
    <w:rsid w:val="0003373C"/>
    <w:rsid w:val="00065659"/>
    <w:rsid w:val="0007170B"/>
    <w:rsid w:val="000735AC"/>
    <w:rsid w:val="0008490D"/>
    <w:rsid w:val="000A2C48"/>
    <w:rsid w:val="000A503C"/>
    <w:rsid w:val="000B2238"/>
    <w:rsid w:val="000D6AF6"/>
    <w:rsid w:val="000F0B79"/>
    <w:rsid w:val="00104C6C"/>
    <w:rsid w:val="00123869"/>
    <w:rsid w:val="00133EB8"/>
    <w:rsid w:val="00136B7E"/>
    <w:rsid w:val="0014532D"/>
    <w:rsid w:val="0015069F"/>
    <w:rsid w:val="001526E8"/>
    <w:rsid w:val="00160E66"/>
    <w:rsid w:val="00163527"/>
    <w:rsid w:val="001767E4"/>
    <w:rsid w:val="001A02FF"/>
    <w:rsid w:val="001A6629"/>
    <w:rsid w:val="001E058B"/>
    <w:rsid w:val="00201B9E"/>
    <w:rsid w:val="00217D11"/>
    <w:rsid w:val="0026456C"/>
    <w:rsid w:val="002648DD"/>
    <w:rsid w:val="002749B5"/>
    <w:rsid w:val="002B5FA7"/>
    <w:rsid w:val="00305C98"/>
    <w:rsid w:val="003062AE"/>
    <w:rsid w:val="00321A77"/>
    <w:rsid w:val="003314E4"/>
    <w:rsid w:val="003378FF"/>
    <w:rsid w:val="00341E42"/>
    <w:rsid w:val="003A7817"/>
    <w:rsid w:val="003A7977"/>
    <w:rsid w:val="003B2AD9"/>
    <w:rsid w:val="003D4C9B"/>
    <w:rsid w:val="003D6C8C"/>
    <w:rsid w:val="003F2157"/>
    <w:rsid w:val="00400A75"/>
    <w:rsid w:val="0042100C"/>
    <w:rsid w:val="0043398C"/>
    <w:rsid w:val="004711E5"/>
    <w:rsid w:val="00497B7A"/>
    <w:rsid w:val="004A0C1E"/>
    <w:rsid w:val="004A3ACF"/>
    <w:rsid w:val="004B5CB5"/>
    <w:rsid w:val="004B6453"/>
    <w:rsid w:val="004C1216"/>
    <w:rsid w:val="004F5165"/>
    <w:rsid w:val="00511905"/>
    <w:rsid w:val="005559CB"/>
    <w:rsid w:val="00586A55"/>
    <w:rsid w:val="005913A0"/>
    <w:rsid w:val="005A23D2"/>
    <w:rsid w:val="005A2BF0"/>
    <w:rsid w:val="005B49CE"/>
    <w:rsid w:val="005C71F5"/>
    <w:rsid w:val="00616B40"/>
    <w:rsid w:val="0063330B"/>
    <w:rsid w:val="00673D72"/>
    <w:rsid w:val="00697C95"/>
    <w:rsid w:val="006A07DB"/>
    <w:rsid w:val="006A1E08"/>
    <w:rsid w:val="006D5230"/>
    <w:rsid w:val="006F3CB8"/>
    <w:rsid w:val="00710494"/>
    <w:rsid w:val="0075623B"/>
    <w:rsid w:val="00770B9D"/>
    <w:rsid w:val="00774A23"/>
    <w:rsid w:val="007920E9"/>
    <w:rsid w:val="007943B1"/>
    <w:rsid w:val="0079716A"/>
    <w:rsid w:val="007B2F69"/>
    <w:rsid w:val="007B7D03"/>
    <w:rsid w:val="007F223A"/>
    <w:rsid w:val="007F519A"/>
    <w:rsid w:val="00830DC4"/>
    <w:rsid w:val="0084536B"/>
    <w:rsid w:val="00865ECC"/>
    <w:rsid w:val="008814D4"/>
    <w:rsid w:val="008A4DD4"/>
    <w:rsid w:val="008A74B7"/>
    <w:rsid w:val="008B5829"/>
    <w:rsid w:val="008C3A17"/>
    <w:rsid w:val="00901053"/>
    <w:rsid w:val="009106BF"/>
    <w:rsid w:val="00951144"/>
    <w:rsid w:val="009652A1"/>
    <w:rsid w:val="009733B6"/>
    <w:rsid w:val="0098493E"/>
    <w:rsid w:val="00991D93"/>
    <w:rsid w:val="00992E8F"/>
    <w:rsid w:val="009B434E"/>
    <w:rsid w:val="009C17CB"/>
    <w:rsid w:val="009C48D2"/>
    <w:rsid w:val="009E4060"/>
    <w:rsid w:val="00A45FDC"/>
    <w:rsid w:val="00A55192"/>
    <w:rsid w:val="00AB2364"/>
    <w:rsid w:val="00AD78E2"/>
    <w:rsid w:val="00AE75A9"/>
    <w:rsid w:val="00AF64B4"/>
    <w:rsid w:val="00B00709"/>
    <w:rsid w:val="00B57800"/>
    <w:rsid w:val="00B80092"/>
    <w:rsid w:val="00B84F6B"/>
    <w:rsid w:val="00BD48BF"/>
    <w:rsid w:val="00BD661B"/>
    <w:rsid w:val="00C05E63"/>
    <w:rsid w:val="00C33FB9"/>
    <w:rsid w:val="00C426AE"/>
    <w:rsid w:val="00C634FF"/>
    <w:rsid w:val="00C8569A"/>
    <w:rsid w:val="00C9332A"/>
    <w:rsid w:val="00CA4719"/>
    <w:rsid w:val="00CD13AB"/>
    <w:rsid w:val="00CE700F"/>
    <w:rsid w:val="00CF7355"/>
    <w:rsid w:val="00D71029"/>
    <w:rsid w:val="00D8255C"/>
    <w:rsid w:val="00D8528D"/>
    <w:rsid w:val="00DA1FE4"/>
    <w:rsid w:val="00DB7F1E"/>
    <w:rsid w:val="00DC45A7"/>
    <w:rsid w:val="00DF29E9"/>
    <w:rsid w:val="00DF4CAF"/>
    <w:rsid w:val="00E10906"/>
    <w:rsid w:val="00E145F0"/>
    <w:rsid w:val="00E23E56"/>
    <w:rsid w:val="00E261B1"/>
    <w:rsid w:val="00E70924"/>
    <w:rsid w:val="00E72595"/>
    <w:rsid w:val="00EB1CBB"/>
    <w:rsid w:val="00EB740E"/>
    <w:rsid w:val="00ED0300"/>
    <w:rsid w:val="00EF59D3"/>
    <w:rsid w:val="00F01E0F"/>
    <w:rsid w:val="00F156F8"/>
    <w:rsid w:val="00F230B6"/>
    <w:rsid w:val="00F328BE"/>
    <w:rsid w:val="00F664E0"/>
    <w:rsid w:val="00F66C7A"/>
    <w:rsid w:val="00F67D45"/>
    <w:rsid w:val="00F73DC9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8B67E-0D28-46EB-A095-62A3AADC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f4">
    <w:name w:val="Block Text"/>
    <w:basedOn w:val="a"/>
    <w:rsid w:val="0043398C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hAnsi="Times New Roman" w:cs="Courier New"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Николаевич</cp:lastModifiedBy>
  <cp:revision>3</cp:revision>
  <cp:lastPrinted>2019-02-05T10:00:00Z</cp:lastPrinted>
  <dcterms:created xsi:type="dcterms:W3CDTF">2019-10-15T12:24:00Z</dcterms:created>
  <dcterms:modified xsi:type="dcterms:W3CDTF">2019-10-15T12:25:00Z</dcterms:modified>
</cp:coreProperties>
</file>