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E" w:rsidRPr="00C36F51" w:rsidRDefault="00A2629E" w:rsidP="00A2629E">
      <w:pPr>
        <w:ind w:firstLine="709"/>
        <w:jc w:val="center"/>
        <w:rPr>
          <w:b/>
          <w:color w:val="000000"/>
        </w:rPr>
      </w:pPr>
      <w:r w:rsidRPr="00C36F51">
        <w:rPr>
          <w:b/>
          <w:color w:val="000000"/>
        </w:rPr>
        <w:t>Практическое занятие №3</w:t>
      </w:r>
    </w:p>
    <w:p w:rsidR="00A2629E" w:rsidRPr="00C36F51" w:rsidRDefault="00A2629E" w:rsidP="00A2629E">
      <w:pPr>
        <w:jc w:val="both"/>
        <w:rPr>
          <w:b/>
          <w:i/>
          <w:color w:val="000000"/>
        </w:rPr>
      </w:pPr>
      <w:r w:rsidRPr="00C36F51">
        <w:rPr>
          <w:b/>
          <w:color w:val="000000"/>
        </w:rPr>
        <w:t xml:space="preserve">1. Тема: Гиперандрогения у женщин. </w:t>
      </w:r>
    </w:p>
    <w:p w:rsidR="00A2629E" w:rsidRDefault="00A2629E" w:rsidP="00A2629E">
      <w:pPr>
        <w:jc w:val="both"/>
        <w:rPr>
          <w:color w:val="000000"/>
        </w:rPr>
      </w:pPr>
    </w:p>
    <w:p w:rsidR="00A2629E" w:rsidRDefault="00A2629E" w:rsidP="00A2629E">
      <w:pPr>
        <w:jc w:val="both"/>
        <w:rPr>
          <w:color w:val="000000"/>
        </w:rPr>
      </w:pPr>
      <w:r w:rsidRPr="008C6E4E">
        <w:rPr>
          <w:color w:val="000000"/>
        </w:rPr>
        <w:t xml:space="preserve">2. Цель: </w:t>
      </w:r>
      <w:r w:rsidRPr="00CD6311">
        <w:rPr>
          <w:color w:val="000000"/>
        </w:rPr>
        <w:t>нау</w:t>
      </w:r>
      <w:r w:rsidRPr="00CD6311">
        <w:rPr>
          <w:color w:val="000000"/>
        </w:rPr>
        <w:softHyphen/>
        <w:t>чить сту</w:t>
      </w:r>
      <w:r w:rsidRPr="00CD6311">
        <w:rPr>
          <w:color w:val="000000"/>
        </w:rPr>
        <w:softHyphen/>
        <w:t>де</w:t>
      </w:r>
      <w:r>
        <w:rPr>
          <w:color w:val="000000"/>
        </w:rPr>
        <w:t>н</w:t>
      </w:r>
      <w:r>
        <w:rPr>
          <w:color w:val="000000"/>
        </w:rPr>
        <w:softHyphen/>
        <w:t>тов ме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дам ди</w:t>
      </w:r>
      <w:r>
        <w:rPr>
          <w:color w:val="000000"/>
        </w:rPr>
        <w:softHyphen/>
        <w:t>аг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ки гиперандрогении у женщин</w:t>
      </w:r>
      <w:r w:rsidRPr="00CD6311">
        <w:rPr>
          <w:color w:val="000000"/>
        </w:rPr>
        <w:t>, изу</w:t>
      </w:r>
      <w:r w:rsidRPr="00CD6311">
        <w:rPr>
          <w:color w:val="000000"/>
        </w:rPr>
        <w:softHyphen/>
        <w:t>чить этио</w:t>
      </w:r>
      <w:r w:rsidRPr="00CD6311">
        <w:rPr>
          <w:color w:val="000000"/>
        </w:rPr>
        <w:softHyphen/>
        <w:t>ло</w:t>
      </w:r>
      <w:r w:rsidRPr="00CD6311">
        <w:rPr>
          <w:color w:val="000000"/>
        </w:rPr>
        <w:softHyphen/>
        <w:t>гию, па</w:t>
      </w:r>
      <w:r w:rsidRPr="00CD6311">
        <w:rPr>
          <w:color w:val="000000"/>
        </w:rPr>
        <w:softHyphen/>
        <w:t>то</w:t>
      </w:r>
      <w:r w:rsidRPr="00CD6311">
        <w:rPr>
          <w:color w:val="000000"/>
        </w:rPr>
        <w:softHyphen/>
        <w:t>ге</w:t>
      </w:r>
      <w:r w:rsidRPr="00CD6311">
        <w:rPr>
          <w:color w:val="000000"/>
        </w:rPr>
        <w:softHyphen/>
        <w:t>нез, кли</w:t>
      </w:r>
      <w:r w:rsidRPr="00CD6311">
        <w:rPr>
          <w:color w:val="000000"/>
        </w:rPr>
        <w:softHyphen/>
        <w:t>ни</w:t>
      </w:r>
      <w:r w:rsidRPr="00CD6311">
        <w:rPr>
          <w:color w:val="000000"/>
        </w:rPr>
        <w:softHyphen/>
        <w:t>ку</w:t>
      </w:r>
      <w:r>
        <w:rPr>
          <w:color w:val="000000"/>
        </w:rPr>
        <w:t xml:space="preserve"> и лечение гиперандрогении у женщин.</w:t>
      </w:r>
    </w:p>
    <w:p w:rsidR="00A2629E" w:rsidRPr="008C6E4E" w:rsidRDefault="00A2629E" w:rsidP="00A2629E">
      <w:pPr>
        <w:ind w:firstLine="1080"/>
        <w:jc w:val="both"/>
        <w:rPr>
          <w:color w:val="000000"/>
        </w:rPr>
      </w:pPr>
    </w:p>
    <w:p w:rsidR="00A2629E" w:rsidRPr="008C6E4E" w:rsidRDefault="00A2629E" w:rsidP="00A2629E">
      <w:pPr>
        <w:jc w:val="both"/>
        <w:rPr>
          <w:color w:val="000000"/>
        </w:rPr>
      </w:pPr>
      <w:r>
        <w:rPr>
          <w:color w:val="000000"/>
        </w:rPr>
        <w:t>3</w:t>
      </w:r>
      <w:r w:rsidRPr="008C6E4E">
        <w:rPr>
          <w:color w:val="000000"/>
        </w:rPr>
        <w:t xml:space="preserve">. Вопросы для рассмотрения: </w:t>
      </w:r>
    </w:p>
    <w:p w:rsidR="00A2629E" w:rsidRDefault="00A2629E" w:rsidP="00A2629E">
      <w:pPr>
        <w:jc w:val="both"/>
        <w:rPr>
          <w:color w:val="000000"/>
        </w:rPr>
      </w:pPr>
      <w:r w:rsidRPr="008C6E4E">
        <w:rPr>
          <w:color w:val="000000"/>
        </w:rPr>
        <w:t>1.</w:t>
      </w:r>
      <w:r>
        <w:rPr>
          <w:color w:val="000000"/>
        </w:rPr>
        <w:t>Определение понятия гиперандрогении у женщин;</w:t>
      </w: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2.Этиопатогенез развития гиперандрогении у женщин;</w:t>
      </w: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3</w:t>
      </w:r>
      <w:r w:rsidRPr="008C6E4E">
        <w:rPr>
          <w:color w:val="000000"/>
        </w:rPr>
        <w:t>.</w:t>
      </w:r>
      <w:r w:rsidRPr="00D10588">
        <w:rPr>
          <w:bCs/>
          <w:color w:val="000000"/>
        </w:rPr>
        <w:t>Клиника и диагностика</w:t>
      </w:r>
      <w:r w:rsidRPr="00DF2A3C">
        <w:t xml:space="preserve"> </w:t>
      </w:r>
      <w:r w:rsidRPr="00DF2A3C">
        <w:rPr>
          <w:bCs/>
          <w:color w:val="000000"/>
        </w:rPr>
        <w:t>гиперандрогении у женщин</w:t>
      </w:r>
      <w:r>
        <w:rPr>
          <w:bCs/>
          <w:color w:val="000000"/>
        </w:rPr>
        <w:t>;</w:t>
      </w: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4.Лечение</w:t>
      </w:r>
      <w:r w:rsidRPr="00DF2A3C">
        <w:t xml:space="preserve"> </w:t>
      </w:r>
      <w:r w:rsidRPr="00DF2A3C">
        <w:rPr>
          <w:color w:val="000000"/>
        </w:rPr>
        <w:t>гиперандрогении у женщин</w:t>
      </w:r>
      <w:r>
        <w:rPr>
          <w:color w:val="000000"/>
        </w:rPr>
        <w:t>;</w:t>
      </w:r>
    </w:p>
    <w:p w:rsidR="00A2629E" w:rsidRDefault="00A2629E" w:rsidP="00A2629E">
      <w:pPr>
        <w:jc w:val="both"/>
        <w:rPr>
          <w:color w:val="000000"/>
        </w:rPr>
      </w:pP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4.</w:t>
      </w:r>
      <w:r w:rsidRPr="00DF2A3C">
        <w:rPr>
          <w:color w:val="000000"/>
        </w:rPr>
        <w:t>Основные понятия темы</w:t>
      </w:r>
      <w:r>
        <w:rPr>
          <w:color w:val="000000"/>
        </w:rPr>
        <w:t>: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Синдром гиперандрогении представляет собой достаточно обширную группу эндокринных заболеваний, которые возникают в силу весьма разнообразных патогенетических механизмов, но объединяются по принципу сходной клинической симптоматики вследствие избыточного количества и/или качества (активности) мужских половых гормонов в женском организме. Наиболее широко распространены следующие гиперандрогенные состояния.</w:t>
      </w:r>
    </w:p>
    <w:p w:rsidR="00A2629E" w:rsidRPr="00DF2A3C" w:rsidRDefault="00A2629E" w:rsidP="00A2629E">
      <w:pPr>
        <w:numPr>
          <w:ilvl w:val="0"/>
          <w:numId w:val="16"/>
        </w:numPr>
        <w:jc w:val="both"/>
        <w:rPr>
          <w:color w:val="000000"/>
        </w:rPr>
      </w:pPr>
      <w:r w:rsidRPr="00DF2A3C">
        <w:rPr>
          <w:color w:val="000000"/>
        </w:rPr>
        <w:t>Синдром поликистозных яичников (СПКЯ): </w:t>
      </w:r>
      <w:r w:rsidRPr="00DF2A3C">
        <w:rPr>
          <w:color w:val="000000"/>
        </w:rPr>
        <w:br/>
        <w:t>а) первичный (синдром Штейна-Левенталя); </w:t>
      </w:r>
      <w:r w:rsidRPr="00DF2A3C">
        <w:rPr>
          <w:color w:val="000000"/>
        </w:rPr>
        <w:br/>
        <w:t>б) вторичный (в рамках нейроэндокринной формы так называемого гипоталамического синдрома, при синдроме гиперпролактинемии, на фоне первичного гипотиреоза).</w:t>
      </w:r>
    </w:p>
    <w:p w:rsidR="00A2629E" w:rsidRPr="00DF2A3C" w:rsidRDefault="00A2629E" w:rsidP="00A2629E">
      <w:pPr>
        <w:numPr>
          <w:ilvl w:val="0"/>
          <w:numId w:val="16"/>
        </w:numPr>
        <w:jc w:val="both"/>
        <w:rPr>
          <w:color w:val="000000"/>
        </w:rPr>
      </w:pPr>
      <w:r w:rsidRPr="00DF2A3C">
        <w:rPr>
          <w:color w:val="000000"/>
        </w:rPr>
        <w:t>Идиопатический гирсутизм.</w:t>
      </w:r>
    </w:p>
    <w:p w:rsidR="00A2629E" w:rsidRPr="00DF2A3C" w:rsidRDefault="00A2629E" w:rsidP="00A2629E">
      <w:pPr>
        <w:numPr>
          <w:ilvl w:val="0"/>
          <w:numId w:val="16"/>
        </w:numPr>
        <w:jc w:val="both"/>
        <w:rPr>
          <w:color w:val="000000"/>
        </w:rPr>
      </w:pPr>
      <w:r w:rsidRPr="00DF2A3C">
        <w:rPr>
          <w:color w:val="000000"/>
        </w:rPr>
        <w:t>Врожденная дисфункция коры надпочечников.</w:t>
      </w:r>
    </w:p>
    <w:p w:rsidR="00A2629E" w:rsidRPr="00DF2A3C" w:rsidRDefault="00A2629E" w:rsidP="00A2629E">
      <w:pPr>
        <w:numPr>
          <w:ilvl w:val="0"/>
          <w:numId w:val="16"/>
        </w:numPr>
        <w:jc w:val="both"/>
        <w:rPr>
          <w:color w:val="000000"/>
        </w:rPr>
      </w:pPr>
      <w:r w:rsidRPr="00DF2A3C">
        <w:rPr>
          <w:color w:val="000000"/>
        </w:rPr>
        <w:t>Стромальный текоматоз яичников.</w:t>
      </w:r>
    </w:p>
    <w:p w:rsidR="00A2629E" w:rsidRPr="00DF2A3C" w:rsidRDefault="00A2629E" w:rsidP="00A2629E">
      <w:pPr>
        <w:numPr>
          <w:ilvl w:val="0"/>
          <w:numId w:val="16"/>
        </w:numPr>
        <w:jc w:val="both"/>
        <w:rPr>
          <w:color w:val="000000"/>
        </w:rPr>
      </w:pPr>
      <w:r w:rsidRPr="00DF2A3C">
        <w:rPr>
          <w:color w:val="000000"/>
        </w:rPr>
        <w:t>Вирилизирующие опухоли.</w:t>
      </w:r>
    </w:p>
    <w:p w:rsidR="00A2629E" w:rsidRPr="00DF2A3C" w:rsidRDefault="00A2629E" w:rsidP="00A2629E">
      <w:pPr>
        <w:numPr>
          <w:ilvl w:val="0"/>
          <w:numId w:val="16"/>
        </w:numPr>
        <w:jc w:val="both"/>
        <w:rPr>
          <w:color w:val="000000"/>
        </w:rPr>
      </w:pPr>
      <w:r w:rsidRPr="00DF2A3C">
        <w:rPr>
          <w:color w:val="000000"/>
        </w:rPr>
        <w:t>Другие более редкие варианты.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В большинстве случаев причины формирования этих заболеваний достаточно подробно изучены, и имеются специфические эффективные методы их коррекции. И тем не менее интерес ученых и клиницистов самых различных специальностей к проблеме гиперандрогении не иссякает. Причем объектом непрестанного и наиболее пристального внимания, особенно на протяжении последнего десятилетия, служит СПКЯ, называемый иначе синдромом гиперандрогенной дисфункции поликистозных яичников, склерокистозом яичников, синдромом Штейна-Левенталя. Столь пристальный интерес к этой проблеме оправдан.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Во-первых, лишь в 90-х гг. ХХ века удалось получить неопровержимые доказательства того, что СПКЯ представляет собой не только самое распространенное гиперандрогенное состояние (порядка 70–80% случаев), но и одно из наиболее часто встречающихся заболеваний эндокринной сферы у девушек и женщин детородного возраста. Если судить по многочисленным публикациям последних лет, впечатляет чрезвычайно высокий уровень частоты СПКЯ, которая составляет от 4 до 7% в популяции. Таким образом, примерно каждая 20-я женщина на различных этапах своей жизни — от младенчества до старости — последовательно сталкивается с разнообразными проявлениями данной патологии, причем со стороны не только репродуктивной сферы, но и множества других функциональных систем и органов.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Во-вторых, последнее десятилетие ознаменовано рядом событий и открытий, послуживших ключом к новому пониманию многих вопросов патогенеза СПКЯ [2, 3, 7–15, 22–25]. Это, в свою очередь, стало мощным толчком к стремительной разработке весьма оригинальных, эффективных и перспективных методик не только лечения и реабилитации уже сформировавшейся патологии, но и ее отдаленных гормонально-</w:t>
      </w:r>
      <w:r w:rsidRPr="00DF2A3C">
        <w:rPr>
          <w:color w:val="000000"/>
        </w:rPr>
        <w:lastRenderedPageBreak/>
        <w:t>метаболических последствий, а также явилось основой для попытки создания превентивной программы действий, направленной на предупреждение развития болезни и ее многочисленных соматических осложнений.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Поэтому в настоящей статье особый акцент сделан прежде всего на проблемах диагностики и достижениях в терапии СПКЯ.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Этиопатогенез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Сравнительно недавно — в конце прошлого века — была предложена и обстоятельно аргументирована новейшая научная концепция о том, что в патогенезе СПКЯ принимают участие две взаимосвязанные составляющие:</w:t>
      </w:r>
    </w:p>
    <w:p w:rsidR="00A2629E" w:rsidRPr="00DF2A3C" w:rsidRDefault="00A2629E" w:rsidP="00A2629E">
      <w:pPr>
        <w:numPr>
          <w:ilvl w:val="0"/>
          <w:numId w:val="17"/>
        </w:numPr>
        <w:jc w:val="both"/>
        <w:rPr>
          <w:color w:val="000000"/>
        </w:rPr>
      </w:pPr>
      <w:r w:rsidRPr="00DF2A3C">
        <w:rPr>
          <w:color w:val="000000"/>
        </w:rPr>
        <w:t>повышенная активность цитохрома Р-450С17альфа, определяющая избыточную продукцию андрогенов в яичниках/надпочечниках;</w:t>
      </w:r>
    </w:p>
    <w:p w:rsidR="00A2629E" w:rsidRPr="00DF2A3C" w:rsidRDefault="00A2629E" w:rsidP="00A2629E">
      <w:pPr>
        <w:numPr>
          <w:ilvl w:val="0"/>
          <w:numId w:val="17"/>
        </w:numPr>
        <w:jc w:val="both"/>
        <w:rPr>
          <w:color w:val="000000"/>
        </w:rPr>
      </w:pPr>
      <w:r w:rsidRPr="00DF2A3C">
        <w:rPr>
          <w:color w:val="000000"/>
        </w:rPr>
        <w:t>гиперинсулинемическая инсулинорезистентность, ведущая к множественным дефектам в регуляции углеводного, жирового, пуринового и других видов обмена веществ.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Эти две составляющие сопряжены у одной и той же пациентки не случайным способом, а вполне закономер-но — через единый первичный механизм. Получено множество достаточно убедительных сведений о существовании при СПКЯ единой универсальной врожденной энзимной аномалии, которая определяет избыточное фосфорилирование серина (вместо тирозина), как в стероидогенных ферментах (17β-гидроксилазе и С17,20-лиазе), так и в субстратах β-субъединицы инсулинового рецептора (ИРС-1 и ИРС-2). Но при этом конечные эффекты такого патологического феномена различаются: активность ферментов стероидогенеза, в среднем, удваивается, что влечет за собой гиперандрогению, тогда как чувствительность к инсулину на пострецепторном уровне в периферических тканях почти вдвое снижается, что неблагоприятно отражается на состоянии метаболизма в целом. Более того, реактивный гиперинсулинизм, компенсаторно возникающий в ответ на патологическую резистентность клеток-мишеней к инсулину, способствует дополнительной чрезмерной активации андроген-синтезирующих клеток овариально-адреналового комплекса, т. е. еще больше потенцирует андрогенизацию организма женщины, начиная с детского возраста [22–25].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Клиническая характеристика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С точки зрения классической терминологии СПКЯ характеризуется двумя облигатными признаками: а) хронической ановуляторной дисфункцией яичников, определяющей формирование первичного бесплодия; б) симптомокомплексом гиперандрогении, имеющей отчетливые клинические (чаще всего) и/или гормональные проявления.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Наряду с этим новейшая модель патогенеза СПКЯ позволила существенно уточнить и расширить представления о «полном клиническом портрете» заболевания. Палитра его симптомов, наряду с описанными чикагскими гинекологами I. F. Stein и M. L. Leventhal почти 70 лет назад (1935) классическими признаками гиперандрогении, с учетом новейших представлений у большинства пациенток включает в себя разнообразные (дис)метаболические нарушения вследствие гиперинсулинизма, которые впервые были выявлены уже более 20 лет назад, благодаря пионерским работам исследователей G. A. Burghen соавт. (Мемфис, 1980). Из-за обилия столь принципиальных сдвигов в состоянии здоровья женщины с СПКЯ, клиническая картина данной сочетанной патологии (гиперандрогении наряду с гиперинсулинизмом) получила весьма образное и четкое отражение не только в высказываниях древнегреческого философа (см. эпиграф), но и в статьях современных авторов.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Симптомы патологической андрогенизации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 xml:space="preserve">Клиника гиперандрогении состоит из немногочисленных симптомов (всего около десяти признаков), но, в зависимости от тяжести процесса, общий облик больных может существенно различаться. И при СПКЯ, формирующемся за счет сравнительно невысокой гиперпродукции преимущественно не самых агрессивных андрогенов, обращает на себя внимание семиотика только гиперандрогенной дермопатии — без вирилизации. Это </w:t>
      </w:r>
      <w:r w:rsidRPr="00DF2A3C">
        <w:rPr>
          <w:color w:val="000000"/>
        </w:rPr>
        <w:lastRenderedPageBreak/>
        <w:t>принципиально отличает его от случаев крайне тяжелой андрогенизации при вирилизирующих опухолях яичников и надпочечников, имеющих совсем иное нозологическое происхождение.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b/>
          <w:bCs/>
          <w:color w:val="000000"/>
        </w:rPr>
        <w:t>Гирсутизм </w:t>
      </w:r>
      <w:r w:rsidRPr="00DF2A3C">
        <w:rPr>
          <w:color w:val="000000"/>
        </w:rPr>
        <w:t>— это не только признак СПКЯ, наиболее яркий и «броский», когда речь идет о врачебной диагностике, но и фактор, более всего травмирующий психику пациентки. Шкала Ферримэна-Голлвея позволяет в течение минуты оценить в баллах степень тяжести гирсутизма. Эта методика используется на протяжении уже более 40 лет и завоевала в мировой практике всеобщее признание. По шкале легко подсчитывается показатель так называемого гормонального числа (четырехбалльная оценка в девяти андроген-зависимых зонах). Оно отражает андрогенную насыщенность пациентки, как правило, намного точнее, чем показатель концентрации тестостерона в сыворотке крови, который доступен в отечественной лабораторной практике для измерения только в суммарном количестве — в виде общего тестостерона. Хорошо известно, что последний, даже при выраженной патологии, может оставаться в пределах референтной нормы (за счет снижения уровня биологически неактивной фракции гормона, связанной с транспортным белком ТЭСГ), тогда как результат визуальной скрининг-диагностики по гормональному числу Ферримэна-Голлвея заслуживает большего доверия, поскольку уже неоднократно была показана прямая корреляция величины данного маркера с концентрацией свободных андрогенов. Именно свободная фракция тестостерона и определяет тяжесть процесса, поэтому на практике гормональный балл оценки гирсутизма вполне может рассматриваться в качестве надежного «зеркала» гиперандрогении. В собственной работе мы давно пользуемся оригинальной градацией степени тяжести гирсутизма по гормональному числу: I степень — 4–14 баллов, II — 15–25 баллов, III — 26–36 баллов. Опыт показывает, что онкологическая настороженность врача должна быть предельно высокой в любом случае — даже в отсутствие вирильных знаков — особенно если женщина обращается к врачу с давним гирсутизмом III степени, а также и при II степени тяжести заболевания, быстро сформировавшегося за счет «галопирующего» течения болезни.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b/>
          <w:bCs/>
          <w:color w:val="000000"/>
        </w:rPr>
        <w:t>Андрогенная алопеция</w:t>
      </w:r>
      <w:r w:rsidRPr="00DF2A3C">
        <w:rPr>
          <w:color w:val="000000"/>
        </w:rPr>
        <w:t> — надежный диагностический маркер вирильных вариантов СГА. Как и другие типы эндокринного облысения, она носит диффузный, а не очаговый (гнездный) характер. Но в отличие от облысения при других заболеваниях желез внутренней секреции (первичном гипотиреозе, полигландулярной недостаточности, пангипопитуитаризме и др.), андрогенной алопеции присуща определенная динамика. Как правило, она манифестирует выпадением волос в височных областях (битемпоральная алопеция с формированием симптомов «височных залысин» или «залысин тайного советника» и «вдовьего пика»), а затем распространяется на теменную область (париетальная алопеция, «плешивость»). Особенностями синтеза и обмена андрогенов в перименопаузальном периоде объясняется то, что до 13% женщин в этом возрасте имеют «вдовий пик» или более выраженные формы облысения в отсутствие других признаков СГА. С другой стороны, плешивость как грозный показатель тяжелого течения СГА чаще наблюдается и быстрее формируется (иногда опережая гирсутизм) именно в этой возрастной группе, что требует исключения андрогенпродуцирующей опухоли [6].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Симптомы инсулинорезистентности и гиперинсулинизма</w:t>
      </w:r>
    </w:p>
    <w:p w:rsidR="00A2629E" w:rsidRPr="00DF2A3C" w:rsidRDefault="00A2629E" w:rsidP="00A2629E">
      <w:pPr>
        <w:numPr>
          <w:ilvl w:val="0"/>
          <w:numId w:val="18"/>
        </w:numPr>
        <w:jc w:val="both"/>
        <w:rPr>
          <w:color w:val="000000"/>
        </w:rPr>
      </w:pPr>
      <w:r w:rsidRPr="00DF2A3C">
        <w:rPr>
          <w:color w:val="000000"/>
        </w:rPr>
        <w:t xml:space="preserve">Классические проявления патологии углеводного обмена (нарушенная толерантность к глюкозе или сахарный диабет 2 типа). При СПКЯ сочетание гиперандрогении и инсулинорезистентности, названное R. Barbieri соавт. в 1988 г. синдромом HAIR (hyperandrogenism and insulin resistance), встречается чаще всего. Даже среди подростков с формирующимся СПКЯ инсулинорезистентность выявляется путем стандартного глюкозотолерантного теста с 75 г глюкозы примерно в трети случаев (преимущественно по типу НТГ), а в более старшем возрасте - более чем у половины пациентов (55-65%), причем к 45 годам частота диабета может составлять 7-10% против 0,5-1,5% в популяции ровесниц. Следует </w:t>
      </w:r>
      <w:r w:rsidRPr="00DF2A3C">
        <w:rPr>
          <w:color w:val="000000"/>
        </w:rPr>
        <w:lastRenderedPageBreak/>
        <w:t>отметить, что недавно по результатам шести проспективных исследований именно у пациенток с СПКЯ и НТГ, впервые выявленном в молодом возрасте, четко доказана "акселерация" диабета. Особенно часто интолерантность к углеводам прогрессирует в сторону явной патологии у тех, кто достигает крайней степени ожирения и имеет отягощенный по диабету семейный анамнез (D.A. Ehrmannet al., 1999).</w:t>
      </w:r>
    </w:p>
    <w:p w:rsidR="00A2629E" w:rsidRPr="00DF2A3C" w:rsidRDefault="00A2629E" w:rsidP="00A2629E">
      <w:pPr>
        <w:numPr>
          <w:ilvl w:val="0"/>
          <w:numId w:val="18"/>
        </w:numPr>
        <w:jc w:val="both"/>
        <w:rPr>
          <w:color w:val="000000"/>
        </w:rPr>
      </w:pPr>
      <w:r w:rsidRPr="00DF2A3C">
        <w:rPr>
          <w:color w:val="000000"/>
        </w:rPr>
        <w:t>Сравнительно редко (лишь в 5%) сочетание HAIR дополняется третьим элементом - наиболее типичной клинической стигмой инсулинорезистентности в виде acanthosis nigricans и обозначается как синдром HAIR-AN. Черный акантоз (acanthosis nigricans) - это папиллярно-пигментная дистрофия кожи, проявляющаяся гиперкератозом и гиперпигментацией (преимущественно на шее, в подмышечной и паховой областях). Особенно выражен этот признак на фоне крайних степеней ожирения, и, наоборот, по мере похудения и коррекции чувствительности к инсулину интенсивность акантоза ослабевает.</w:t>
      </w:r>
    </w:p>
    <w:p w:rsidR="00A2629E" w:rsidRPr="00DF2A3C" w:rsidRDefault="00A2629E" w:rsidP="00A2629E">
      <w:pPr>
        <w:numPr>
          <w:ilvl w:val="0"/>
          <w:numId w:val="18"/>
        </w:numPr>
        <w:jc w:val="both"/>
        <w:rPr>
          <w:color w:val="000000"/>
        </w:rPr>
      </w:pPr>
      <w:r w:rsidRPr="00DF2A3C">
        <w:rPr>
          <w:color w:val="000000"/>
        </w:rPr>
        <w:t>Массивное ожирение и/или перераспределение подкожной жировой клетчатки по андроидному типу (абдоминальному типа "яблока"): индекс массы тела более 25 кг/мІ, окружность талии более 87,5 см, а ее отношение к окружности бедер более 0,8.</w:t>
      </w:r>
    </w:p>
    <w:p w:rsidR="00A2629E" w:rsidRPr="00DF2A3C" w:rsidRDefault="00A2629E" w:rsidP="00A2629E">
      <w:pPr>
        <w:numPr>
          <w:ilvl w:val="0"/>
          <w:numId w:val="18"/>
        </w:numPr>
        <w:jc w:val="both"/>
        <w:rPr>
          <w:color w:val="000000"/>
        </w:rPr>
      </w:pPr>
      <w:r w:rsidRPr="00DF2A3C">
        <w:rPr>
          <w:color w:val="000000"/>
        </w:rPr>
        <w:t>Наличие в допубертатном анамнезе изолированного пубархе - первого признака дебюта андрогенизации в виде полового оволосения до начала эстрогенизации грудных желез, особенно в сочетании с дефицитом массы тела при рождении.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Лабораторно-инструментальная диагностика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Как это ни парадоксально, но, несмотря на колоссальный прорыв теоретической медицины в понимании молекулярно-биологических и генетических механизмов развития СПКЯ, в мире до сих пор так и не принято согласованного решения о критериях диагностики СПКЯ, а единственным документом, хотя бы отчасти регламентирующим процесс обследования и призванным скорее предотвратить гипердиагностику заболевания, чем обеспечить его выявление на ранних стадиях, являются рекомендации Национального института здоровья США, принятые на конференции в 1990 г.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Согласно этому документу, которым и поныне руководствуется абсолютное большинство исследователей, занимающихся данной проблемой, диагноз СПКЯ — это диагноз исключения. Для его верификации кроме наличия двух клинических критериев включения, о которых шла речь выше (ановуляция+гиперандрогения), необходим еще и третий — отсутствие других эндокринных заболеваний (врожденной дисфункции коры надпочечников, вирилизирующих опухолей, болезни Иценко-Кушинга, первичной гиперпролактинемии, патологии щитовидной железы). Полностью разделяя такую точку зрения, мы на протяжении последних 15 лет у каждой пациентки считаем необходимым завершать диагностику СПКЯ тремя дополнительными обследованиями. Это чрезвычайно важно не только и не столько для подтверждения диагноза, сколько для дальнейшего использования в качестве критериев при выборе дифференцированной терапии на индивидуальной основе. Речь идет о следующих исследованиях.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1. На седьмой–десятый день менструального цикла — «гонадотропный индекс» (ЛГ/ФСГ) &gt;&gt; 2, ПРЛ в норме или несущественно повышен (примерно в20% случаев).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2. На седьмой–десятый день менструального цикла на УЗИ выявляются характерные признаки:</w:t>
      </w:r>
    </w:p>
    <w:p w:rsidR="00A2629E" w:rsidRPr="00DF2A3C" w:rsidRDefault="00A2629E" w:rsidP="00A2629E">
      <w:pPr>
        <w:numPr>
          <w:ilvl w:val="0"/>
          <w:numId w:val="19"/>
        </w:numPr>
        <w:jc w:val="both"/>
        <w:rPr>
          <w:color w:val="000000"/>
        </w:rPr>
      </w:pPr>
      <w:r w:rsidRPr="00DF2A3C">
        <w:rPr>
          <w:color w:val="000000"/>
        </w:rPr>
        <w:t>двустороннее увеличение объема обоих яичников (по нашим данным, более 6 мл/мІ площади поверхности тела, т. е. с учетом индивидуальных параметров физического развития по росту и массе тела на момент проведения УЗИ малого таза);</w:t>
      </w:r>
    </w:p>
    <w:p w:rsidR="00A2629E" w:rsidRPr="00DF2A3C" w:rsidRDefault="00A2629E" w:rsidP="00A2629E">
      <w:pPr>
        <w:numPr>
          <w:ilvl w:val="0"/>
          <w:numId w:val="19"/>
        </w:numPr>
        <w:jc w:val="both"/>
        <w:rPr>
          <w:color w:val="000000"/>
        </w:rPr>
      </w:pPr>
      <w:r w:rsidRPr="00DF2A3C">
        <w:rPr>
          <w:color w:val="000000"/>
        </w:rPr>
        <w:t>овариальная ткань "поликистозного" типа, т. е. с обеих визуализируются по 10 и более мелких незрелых фолликулов диаметром до 8 мм, а также увеличение площади гиперэхогенной стромы мозгового вещества обоих яичников;</w:t>
      </w:r>
    </w:p>
    <w:p w:rsidR="00A2629E" w:rsidRPr="00DF2A3C" w:rsidRDefault="00A2629E" w:rsidP="00A2629E">
      <w:pPr>
        <w:numPr>
          <w:ilvl w:val="0"/>
          <w:numId w:val="19"/>
        </w:numPr>
        <w:jc w:val="both"/>
        <w:rPr>
          <w:color w:val="000000"/>
        </w:rPr>
      </w:pPr>
      <w:r w:rsidRPr="00DF2A3C">
        <w:rPr>
          <w:color w:val="000000"/>
        </w:rPr>
        <w:lastRenderedPageBreak/>
        <w:t>яичниково-маточный индекс (средний объем яичников/толщина матки) &gt; 3,5;</w:t>
      </w:r>
    </w:p>
    <w:p w:rsidR="00A2629E" w:rsidRPr="00DF2A3C" w:rsidRDefault="00A2629E" w:rsidP="00A2629E">
      <w:pPr>
        <w:numPr>
          <w:ilvl w:val="0"/>
          <w:numId w:val="19"/>
        </w:numPr>
        <w:jc w:val="both"/>
        <w:rPr>
          <w:color w:val="000000"/>
        </w:rPr>
      </w:pPr>
      <w:r w:rsidRPr="00DF2A3C">
        <w:rPr>
          <w:color w:val="000000"/>
        </w:rPr>
        <w:t>утолщение (склероз) капсулы обоих яичников.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3. Лабораторные знаки инсулинорезистентности:</w:t>
      </w:r>
    </w:p>
    <w:p w:rsidR="00A2629E" w:rsidRPr="00DF2A3C" w:rsidRDefault="00A2629E" w:rsidP="00A2629E">
      <w:pPr>
        <w:numPr>
          <w:ilvl w:val="0"/>
          <w:numId w:val="20"/>
        </w:numPr>
        <w:jc w:val="both"/>
        <w:rPr>
          <w:color w:val="000000"/>
        </w:rPr>
      </w:pPr>
      <w:r w:rsidRPr="00DF2A3C">
        <w:rPr>
          <w:color w:val="000000"/>
        </w:rPr>
        <w:t>повышение базального уровня (натощак) уровня инсулина в сыворотке крови или увеличение расчетного глюкозо-инсулинового индекса HOMAIR.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Однако в апреле 2003 г. экспертами американской Ассоциации клинических эндокринологов разработан новый документ, согласно которому решено переименовать комплекс клинико-биохимических нарушений, известный с 1988 г. как (дис)метаболический синдром Х, в синдром инсулинорезистентности. А при его верификации предложено ориентироваться не на гормональные индикаторы, а на суррогатные биохимические параметры [26].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Идентификация синдрома инсулинорезистентности</w:t>
      </w:r>
    </w:p>
    <w:p w:rsidR="00A2629E" w:rsidRPr="00DF2A3C" w:rsidRDefault="00A2629E" w:rsidP="00A2629E">
      <w:pPr>
        <w:numPr>
          <w:ilvl w:val="0"/>
          <w:numId w:val="21"/>
        </w:numPr>
        <w:jc w:val="both"/>
        <w:rPr>
          <w:color w:val="000000"/>
        </w:rPr>
      </w:pPr>
      <w:r w:rsidRPr="00DF2A3C">
        <w:rPr>
          <w:color w:val="000000"/>
        </w:rPr>
        <w:t>Триглицериды &gt;150 мг/дл (1,74 ммоль/л).</w:t>
      </w:r>
    </w:p>
    <w:p w:rsidR="00A2629E" w:rsidRPr="00DF2A3C" w:rsidRDefault="00A2629E" w:rsidP="00A2629E">
      <w:pPr>
        <w:numPr>
          <w:ilvl w:val="0"/>
          <w:numId w:val="21"/>
        </w:numPr>
        <w:jc w:val="both"/>
        <w:rPr>
          <w:color w:val="000000"/>
        </w:rPr>
      </w:pPr>
      <w:r w:rsidRPr="00DF2A3C">
        <w:rPr>
          <w:color w:val="000000"/>
        </w:rPr>
        <w:t>Холестерин липопротеидов высокой плотности у женщин &lt; 50 мг/дл (1,3 ммоль/л).</w:t>
      </w:r>
    </w:p>
    <w:p w:rsidR="00A2629E" w:rsidRPr="00DF2A3C" w:rsidRDefault="00A2629E" w:rsidP="00A2629E">
      <w:pPr>
        <w:numPr>
          <w:ilvl w:val="0"/>
          <w:numId w:val="21"/>
        </w:numPr>
        <w:jc w:val="both"/>
        <w:rPr>
          <w:color w:val="000000"/>
        </w:rPr>
      </w:pPr>
      <w:r w:rsidRPr="00DF2A3C">
        <w:rPr>
          <w:color w:val="000000"/>
        </w:rPr>
        <w:t>Артериальное давление &gt; 130/85 мм рт. ст.</w:t>
      </w:r>
    </w:p>
    <w:p w:rsidR="00A2629E" w:rsidRPr="00DF2A3C" w:rsidRDefault="00A2629E" w:rsidP="00A2629E">
      <w:pPr>
        <w:numPr>
          <w:ilvl w:val="0"/>
          <w:numId w:val="21"/>
        </w:numPr>
        <w:jc w:val="both"/>
        <w:rPr>
          <w:color w:val="000000"/>
        </w:rPr>
      </w:pPr>
      <w:r w:rsidRPr="00DF2A3C">
        <w:rPr>
          <w:color w:val="000000"/>
        </w:rPr>
        <w:t>Гликемия: натощак 110-125 мг/дл (6,1-6,9 ммоль/л); через 120 мин после нагрузки глюкозой 140-200 мг/дл (7,8-11,1 ммоль/л).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Завершая разговор о технологии диагностики СПКЯ в современной клинической практике, особо подчеркнем, что каждый из названных симптомов в отрыве от других никакого самостоятельного диагностического значения не имеет. При этом чем больше у одной и той же пациентки с гиперандрогенной дисфункцией яичников параклинических признаков из приведенного перечня, тем более обоснованной, оправданной, эффективной и безопасной будет попытка эндокринолога/гинеколога применить новые технологии и современные протоколы для дифференцированного лечения.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Лечение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Индивидуальная тактика ведения пациенток с СПКЯ нередко зависит не только от установленного нозологического варианта патологии, но и от ситуации в семье, где планируется беременность. С учетом этого терапию СПКЯ условно можно разделить на две группы: базовую — когда длительно выполняется комплексная реабилитационная программа и происходит планомерная подготовка молодой женщины к беременности, и ситуационную — когда по желанию пациентки неотложно решается вопрос о восстановлении фертильности.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Базовая терапия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Арсенал помощи пациенткам с СПКЯ представлен ныне большой фармакотерапевтической группой лекарственных средств, оказывающих специфические и принципиально отличные одно от другого воздействия на разные патогенетические звенья. Индивидуальный комплекс мероприятий разрабатывается с учетом наличия/отсутствия указаний на инсулинорезистентность, образа пищевого поведения и вредных привычек. Базовая терапия предусматривает два основных сценария лечения: а) для худых без гиперинсулинизма — антиандрогенные +/- эстроген-гестагенные препараты; б) для всех, имеющих избыточную массу тела, и для худых с инсулинорезистентностью — сенситайзеры инсулина в сочетании с мероприятиями по нормализации веса.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Наиболее ощутимым и значимым следствием открытия роли инсулинорезистентности в формировании СПКЯ стала новая терапевтическая технология с применением лекарственных препаратов, повышающих чувствительность инсулиновых рецепторов. Следует сразу оговориться, что группа метформина и глитазонов показана хотя и абсолютному большинству пациенток, но не всем. Совершенно очевидно, что при отборе лиц, которым показана терапия инсулин-сенсибилизирующими препаратами, явное преимущество имеют женщины, удовлетворяющие критериям периферической рефрактерности к гормону.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lastRenderedPageBreak/>
        <w:t>Современные мощные системы поиска научно-медицинской литературы позволяют отслеживать появление новейших данных даже в отдаленных уголках планеты в течение нескольких недель после их появления в печати или во всемирной сети. С момента публикации в 1994 г. статьи коллектива авторов из Венесуэлы и США [29] о первом опыте применения метформина при СПКЯ прошло 10 лет. За эти годы появилось еще около 200 работ по данному вопросу. В большинстве из них представлены сведения о нерандомизированных, неконтролируемых и, как правило, малочисленных испытаниях. Такой уровень научного анализа не удовлетворяет современным жестким требованиям, предъявляемым к доказательной медицине. Поэтому исключительный интерес представляют публикации систематизированных аналитических обзоров и итоги метаанализа по сводным данным из аналогичных испытаний [24, 27, 28]. Подобные работы появились лишь в течение последнего полугодия, и их обсуждение важно как для практики, так и для развития теории. Сводку наиболее очевидных систематически воспроизводимых эффектов метформина при СПКЯ приводим ниже.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Клинические эффекты</w:t>
      </w:r>
    </w:p>
    <w:p w:rsidR="00A2629E" w:rsidRPr="00DF2A3C" w:rsidRDefault="00A2629E" w:rsidP="00A2629E">
      <w:pPr>
        <w:numPr>
          <w:ilvl w:val="0"/>
          <w:numId w:val="22"/>
        </w:numPr>
        <w:jc w:val="both"/>
        <w:rPr>
          <w:color w:val="000000"/>
        </w:rPr>
      </w:pPr>
      <w:r w:rsidRPr="00DF2A3C">
        <w:rPr>
          <w:color w:val="000000"/>
        </w:rPr>
        <w:t>Улучшение менструальной функции, индукция спонтанной и стимулированной овуляции, повышение частоты зачатия.</w:t>
      </w:r>
    </w:p>
    <w:p w:rsidR="00A2629E" w:rsidRPr="00DF2A3C" w:rsidRDefault="00A2629E" w:rsidP="00A2629E">
      <w:pPr>
        <w:numPr>
          <w:ilvl w:val="0"/>
          <w:numId w:val="22"/>
        </w:numPr>
        <w:jc w:val="both"/>
        <w:rPr>
          <w:color w:val="000000"/>
        </w:rPr>
      </w:pPr>
      <w:r w:rsidRPr="00DF2A3C">
        <w:rPr>
          <w:color w:val="000000"/>
        </w:rPr>
        <w:t>Снижение частоты спонтанных выкидышей, снижение частоты гестационного диабета, улучшение исходов беременности в отсутствие тератогенного эффекта.</w:t>
      </w:r>
    </w:p>
    <w:p w:rsidR="00A2629E" w:rsidRPr="00DF2A3C" w:rsidRDefault="00A2629E" w:rsidP="00A2629E">
      <w:pPr>
        <w:numPr>
          <w:ilvl w:val="0"/>
          <w:numId w:val="22"/>
        </w:numPr>
        <w:jc w:val="both"/>
        <w:rPr>
          <w:color w:val="000000"/>
        </w:rPr>
      </w:pPr>
      <w:r w:rsidRPr="00DF2A3C">
        <w:rPr>
          <w:color w:val="000000"/>
        </w:rPr>
        <w:t>Уменьшение гирсутизма, угревых элементов, жирной себореи, других симптомов гиперандрогении.</w:t>
      </w:r>
    </w:p>
    <w:p w:rsidR="00A2629E" w:rsidRPr="00DF2A3C" w:rsidRDefault="00A2629E" w:rsidP="00A2629E">
      <w:pPr>
        <w:numPr>
          <w:ilvl w:val="0"/>
          <w:numId w:val="22"/>
        </w:numPr>
        <w:jc w:val="both"/>
        <w:rPr>
          <w:color w:val="000000"/>
        </w:rPr>
      </w:pPr>
      <w:r w:rsidRPr="00DF2A3C">
        <w:rPr>
          <w:color w:val="000000"/>
        </w:rPr>
        <w:t>Снижение аппетита, массы тела, АД.</w:t>
      </w:r>
    </w:p>
    <w:p w:rsidR="00A2629E" w:rsidRPr="00DF2A3C" w:rsidRDefault="00A2629E" w:rsidP="00A2629E">
      <w:pPr>
        <w:jc w:val="both"/>
        <w:rPr>
          <w:b/>
          <w:bCs/>
          <w:color w:val="000000"/>
        </w:rPr>
      </w:pPr>
      <w:r w:rsidRPr="00DF2A3C">
        <w:rPr>
          <w:b/>
          <w:bCs/>
          <w:color w:val="000000"/>
        </w:rPr>
        <w:t>Лабораторные эффекты</w:t>
      </w:r>
    </w:p>
    <w:p w:rsidR="00A2629E" w:rsidRPr="00DF2A3C" w:rsidRDefault="00A2629E" w:rsidP="00A2629E">
      <w:pPr>
        <w:numPr>
          <w:ilvl w:val="0"/>
          <w:numId w:val="23"/>
        </w:numPr>
        <w:jc w:val="both"/>
        <w:rPr>
          <w:color w:val="000000"/>
        </w:rPr>
      </w:pPr>
      <w:r w:rsidRPr="00DF2A3C">
        <w:rPr>
          <w:color w:val="000000"/>
        </w:rPr>
        <w:t>Снижение уровня инсулина, инсулиноподобного фактора роста 1 типа (ИФР-1).</w:t>
      </w:r>
    </w:p>
    <w:p w:rsidR="00A2629E" w:rsidRPr="00DF2A3C" w:rsidRDefault="00A2629E" w:rsidP="00A2629E">
      <w:pPr>
        <w:numPr>
          <w:ilvl w:val="0"/>
          <w:numId w:val="23"/>
        </w:numPr>
        <w:jc w:val="both"/>
        <w:rPr>
          <w:color w:val="000000"/>
        </w:rPr>
      </w:pPr>
      <w:r w:rsidRPr="00DF2A3C">
        <w:rPr>
          <w:color w:val="000000"/>
        </w:rPr>
        <w:t>Снижение уровня холестерина, триглицеридов, ЛПНП и ЛПОНП, повышение концентрации ЛПВП.</w:t>
      </w:r>
    </w:p>
    <w:p w:rsidR="00A2629E" w:rsidRPr="00DF2A3C" w:rsidRDefault="00A2629E" w:rsidP="00A2629E">
      <w:pPr>
        <w:numPr>
          <w:ilvl w:val="0"/>
          <w:numId w:val="23"/>
        </w:numPr>
        <w:jc w:val="both"/>
        <w:rPr>
          <w:color w:val="000000"/>
        </w:rPr>
      </w:pPr>
      <w:r w:rsidRPr="00DF2A3C">
        <w:rPr>
          <w:color w:val="000000"/>
        </w:rPr>
        <w:t>Снижение уровня андрогенов, ЛГ, ингибитора активатора плазминогена.</w:t>
      </w:r>
    </w:p>
    <w:p w:rsidR="00A2629E" w:rsidRPr="00DF2A3C" w:rsidRDefault="00A2629E" w:rsidP="00A2629E">
      <w:pPr>
        <w:numPr>
          <w:ilvl w:val="0"/>
          <w:numId w:val="23"/>
        </w:numPr>
        <w:jc w:val="both"/>
        <w:rPr>
          <w:color w:val="000000"/>
        </w:rPr>
      </w:pPr>
      <w:r w:rsidRPr="00DF2A3C">
        <w:rPr>
          <w:color w:val="000000"/>
        </w:rPr>
        <w:t>Повышение уровня тестостерон-эстрадиол-связывающего глобулина, связывающего белка для ИФР-1.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Российским врачам разных специальностей наиболее знаком препарат Сиофор 500 и 850 мг (Берлин-Хеми/Менарини Фарма ГмбХ), относящийся к группе сенситайзеров инсулина. Он стал привычным не только для эндокринологов (при терапии сахарного диабета 2 типа), но и для гинекологов-эндокринологов — именно с этого препарата началась история лечения СПКЯ сенситайзерами в нашей стране (М. Б. Анциферов соавт., 2001; Е. А. Карпова, 2002; Н. Г. Мишиева соавт., 2001; Г. Е. Чернуха соавт., 2001).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i/>
          <w:iCs/>
          <w:color w:val="000000"/>
        </w:rPr>
        <w:t>Режим дозирования:</w:t>
      </w:r>
      <w:r w:rsidRPr="00DF2A3C">
        <w:rPr>
          <w:color w:val="000000"/>
        </w:rPr>
        <w:t> первая неделя = 1 табл. на ночь, вторая неделя = + 1 табл. перед завтраком, третья неделя = + 1 табл. перед обедом. Средняя суточная доза — 1,5-2,5 г.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i/>
          <w:iCs/>
          <w:color w:val="000000"/>
        </w:rPr>
        <w:t>Длительность приема:</w:t>
      </w:r>
      <w:r w:rsidRPr="00DF2A3C">
        <w:rPr>
          <w:color w:val="000000"/>
        </w:rPr>
        <w:t> минимум шесть месяцев, максимум 24 месяца, средняя продолжительность — один год.</w:t>
      </w:r>
    </w:p>
    <w:p w:rsidR="00A2629E" w:rsidRPr="00DF2A3C" w:rsidRDefault="00A2629E" w:rsidP="00A2629E">
      <w:pPr>
        <w:jc w:val="both"/>
        <w:rPr>
          <w:color w:val="000000"/>
        </w:rPr>
      </w:pPr>
      <w:r w:rsidRPr="00DF2A3C">
        <w:rPr>
          <w:color w:val="000000"/>
        </w:rPr>
        <w:t>Перерыв/отмена в приеме препарата должны осуществляться в течение нескольких дней при любом остром заболевании и при проведении рентгеноконтрастных исследований по поводу других состояний (риск лактатоцидоза).</w:t>
      </w:r>
    </w:p>
    <w:p w:rsidR="00A2629E" w:rsidRPr="00DF2A3C" w:rsidRDefault="00A2629E" w:rsidP="00A2629E">
      <w:pPr>
        <w:jc w:val="both"/>
        <w:rPr>
          <w:color w:val="000000"/>
        </w:rPr>
      </w:pP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5.</w:t>
      </w:r>
      <w:r w:rsidRPr="00DF2A3C">
        <w:rPr>
          <w:color w:val="000000"/>
        </w:rPr>
        <w:t xml:space="preserve">Рекомендуемая литература: </w:t>
      </w: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1.</w:t>
      </w:r>
      <w:r w:rsidRPr="00DF2A3C">
        <w:rPr>
          <w:color w:val="000000"/>
        </w:rPr>
        <w:t>Аидинлик С., Кауфманн Дж., Лахнит</w:t>
      </w:r>
      <w:r w:rsidRPr="00DF2A3C">
        <w:rPr>
          <w:color w:val="000000"/>
        </w:rPr>
        <w:t>Фиксон У., Ленерт Дж. Длительное лечение явлений анд</w:t>
      </w:r>
      <w:r w:rsidRPr="00DF2A3C">
        <w:rPr>
          <w:color w:val="000000"/>
        </w:rPr>
        <w:t> рогенизации комбинацией антиандроген</w:t>
      </w:r>
      <w:r w:rsidRPr="00DF2A3C">
        <w:rPr>
          <w:color w:val="000000"/>
        </w:rPr>
        <w:t>эст</w:t>
      </w:r>
      <w:r w:rsidRPr="00DF2A3C">
        <w:rPr>
          <w:color w:val="000000"/>
        </w:rPr>
        <w:t> роген (Диане</w:t>
      </w:r>
      <w:r w:rsidRPr="00DF2A3C">
        <w:rPr>
          <w:color w:val="000000"/>
        </w:rPr>
        <w:t xml:space="preserve">35) // Планирование семьи. 1997. № 2. С. 29–33. </w:t>
      </w: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2.</w:t>
      </w:r>
      <w:r w:rsidRPr="00DF2A3C">
        <w:rPr>
          <w:color w:val="000000"/>
        </w:rPr>
        <w:t>Дедов И.И., Андреева Е.Н., Пищулин А.А. Синд</w:t>
      </w:r>
      <w:r w:rsidRPr="00DF2A3C">
        <w:rPr>
          <w:color w:val="000000"/>
        </w:rPr>
        <w:t> ром гиперандрогении у женщин: Методичес</w:t>
      </w:r>
      <w:r w:rsidRPr="00DF2A3C">
        <w:rPr>
          <w:color w:val="000000"/>
        </w:rPr>
        <w:t xml:space="preserve"> кое пособие для врачей. М., 2006. С. 3–40. </w:t>
      </w:r>
    </w:p>
    <w:p w:rsidR="00A2629E" w:rsidRDefault="00A2629E" w:rsidP="00A2629E">
      <w:pPr>
        <w:jc w:val="both"/>
        <w:rPr>
          <w:color w:val="000000"/>
        </w:rPr>
      </w:pPr>
      <w:r>
        <w:rPr>
          <w:color w:val="000000"/>
        </w:rPr>
        <w:t>3.</w:t>
      </w:r>
      <w:r w:rsidRPr="00DF2A3C">
        <w:rPr>
          <w:color w:val="000000"/>
        </w:rPr>
        <w:t>Двуреченская О.В., Использование КОК для кор</w:t>
      </w:r>
      <w:r w:rsidRPr="00DF2A3C">
        <w:rPr>
          <w:color w:val="000000"/>
        </w:rPr>
        <w:t> рекции гиперандрогении у женщин фертиль</w:t>
      </w:r>
      <w:r w:rsidRPr="00DF2A3C">
        <w:rPr>
          <w:color w:val="000000"/>
        </w:rPr>
        <w:t> ного возраста: Дис. … канд. мед. наук. Красно</w:t>
      </w:r>
      <w:r w:rsidRPr="00DF2A3C">
        <w:rPr>
          <w:color w:val="000000"/>
        </w:rPr>
        <w:t xml:space="preserve"> дар, 2003. </w:t>
      </w:r>
    </w:p>
    <w:p w:rsidR="00A2629E" w:rsidRPr="00DF2A3C" w:rsidRDefault="00A2629E" w:rsidP="00A2629E">
      <w:pPr>
        <w:jc w:val="both"/>
        <w:rPr>
          <w:color w:val="000000"/>
        </w:rPr>
      </w:pPr>
      <w:r>
        <w:rPr>
          <w:color w:val="000000"/>
        </w:rPr>
        <w:lastRenderedPageBreak/>
        <w:t>4.</w:t>
      </w:r>
      <w:r w:rsidRPr="00DF2A3C">
        <w:rPr>
          <w:color w:val="000000"/>
        </w:rPr>
        <w:t>Кузнецова И.В., Побединский Н.М. Новый ораль</w:t>
      </w:r>
      <w:r w:rsidRPr="00DF2A3C">
        <w:rPr>
          <w:color w:val="000000"/>
        </w:rPr>
        <w:t> ный контрацептив – один из многих или пре</w:t>
      </w:r>
      <w:r w:rsidRPr="00DF2A3C">
        <w:rPr>
          <w:color w:val="000000"/>
        </w:rPr>
        <w:t> парат с уникальными свойствами? // Гинеко</w:t>
      </w:r>
      <w:r w:rsidRPr="00DF2A3C">
        <w:rPr>
          <w:color w:val="000000"/>
        </w:rPr>
        <w:t xml:space="preserve"> логия. 2004. Т. 6. № 4. С. 195–197. </w:t>
      </w:r>
      <w:r>
        <w:rPr>
          <w:color w:val="000000"/>
        </w:rPr>
        <w:t>5.</w:t>
      </w:r>
      <w:r w:rsidRPr="00DF2A3C">
        <w:rPr>
          <w:color w:val="000000"/>
        </w:rPr>
        <w:t>Монахов С.А., Иванов О.Л., Самгин М.А. Антиан</w:t>
      </w:r>
      <w:r w:rsidRPr="00DF2A3C">
        <w:rPr>
          <w:color w:val="000000"/>
        </w:rPr>
        <w:t> дрогенная терапия акне у женщин // Рос. журн. кожных и венерических болезней. 2005. № 3. С. 66–70.</w:t>
      </w:r>
    </w:p>
    <w:p w:rsidR="00A2629E" w:rsidRDefault="00A2629E" w:rsidP="00A2629E">
      <w:pPr>
        <w:jc w:val="both"/>
        <w:rPr>
          <w:color w:val="000000"/>
        </w:rPr>
      </w:pPr>
    </w:p>
    <w:p w:rsidR="00A2629E" w:rsidRDefault="00A2629E" w:rsidP="00A2629E">
      <w:pPr>
        <w:jc w:val="both"/>
        <w:rPr>
          <w:rFonts w:eastAsia="Times New Roman"/>
          <w:b/>
          <w:bCs/>
        </w:rPr>
      </w:pPr>
      <w:r>
        <w:rPr>
          <w:color w:val="000000"/>
        </w:rPr>
        <w:t>6.</w:t>
      </w:r>
      <w:r w:rsidRPr="00014A51">
        <w:rPr>
          <w:color w:val="000000"/>
        </w:rPr>
        <w:t>Самостоятельн</w:t>
      </w:r>
      <w:r>
        <w:rPr>
          <w:color w:val="000000"/>
        </w:rPr>
        <w:t>ая работа ординаторов к занятию:</w:t>
      </w:r>
      <w:r w:rsidRPr="00C36F51">
        <w:rPr>
          <w:rFonts w:eastAsia="Times New Roman"/>
          <w:b/>
          <w:bCs/>
        </w:rPr>
        <w:t xml:space="preserve"> </w:t>
      </w:r>
    </w:p>
    <w:p w:rsidR="00A2629E" w:rsidRPr="00C36F51" w:rsidRDefault="00A2629E" w:rsidP="00A2629E">
      <w:pPr>
        <w:jc w:val="both"/>
        <w:rPr>
          <w:color w:val="000000"/>
        </w:rPr>
      </w:pPr>
      <w:r w:rsidRPr="00C36F51">
        <w:rPr>
          <w:b/>
          <w:bCs/>
          <w:color w:val="000000"/>
        </w:rPr>
        <w:t>а) Обязательная:</w:t>
      </w:r>
      <w:r w:rsidRPr="00C36F51">
        <w:rPr>
          <w:color w:val="000000"/>
        </w:rPr>
        <w:t xml:space="preserve"> курация больных, работа с лекционным материалом, работа с учебниками, учебными пособиями, информационно-литературный поиск, подготовка реферата, доклада, подготовка к рубежному контролю</w:t>
      </w:r>
    </w:p>
    <w:p w:rsidR="00A2629E" w:rsidRPr="00C36F51" w:rsidRDefault="00A2629E" w:rsidP="00A2629E">
      <w:pPr>
        <w:jc w:val="both"/>
        <w:rPr>
          <w:color w:val="000000"/>
        </w:rPr>
      </w:pPr>
      <w:r w:rsidRPr="00C36F51">
        <w:rPr>
          <w:b/>
          <w:bCs/>
          <w:color w:val="000000"/>
        </w:rPr>
        <w:t>б) Необязательная:</w:t>
      </w:r>
      <w:r w:rsidRPr="00C36F51">
        <w:rPr>
          <w:color w:val="000000"/>
        </w:rPr>
        <w:t xml:space="preserve"> участие в конкурсе рефератов, защита рефератов, написание историй болезни.</w:t>
      </w:r>
    </w:p>
    <w:p w:rsidR="00A2629E" w:rsidRPr="00C36F51" w:rsidRDefault="00A2629E" w:rsidP="00A2629E">
      <w:pPr>
        <w:jc w:val="both"/>
        <w:rPr>
          <w:lang w:eastAsia="en-US"/>
        </w:rPr>
      </w:pPr>
      <w:r w:rsidRPr="00C36F51">
        <w:rPr>
          <w:lang w:eastAsia="en-US"/>
        </w:rPr>
        <w:t>Контроль самостоятельной работы: тестирование, собеседование, приём практических умений и навыков.</w:t>
      </w:r>
    </w:p>
    <w:p w:rsidR="00712498" w:rsidRPr="00A2629E" w:rsidRDefault="00A2629E" w:rsidP="00A2629E"/>
    <w:sectPr w:rsidR="00712498" w:rsidRPr="00A2629E" w:rsidSect="00F9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43B2C"/>
    <w:lvl w:ilvl="0">
      <w:numFmt w:val="bullet"/>
      <w:lvlText w:val="*"/>
      <w:lvlJc w:val="left"/>
    </w:lvl>
  </w:abstractNum>
  <w:abstractNum w:abstractNumId="1">
    <w:nsid w:val="08A02359"/>
    <w:multiLevelType w:val="multilevel"/>
    <w:tmpl w:val="7B7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706D1"/>
    <w:multiLevelType w:val="hybridMultilevel"/>
    <w:tmpl w:val="B844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A0AE9"/>
    <w:multiLevelType w:val="multilevel"/>
    <w:tmpl w:val="F43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0099C"/>
    <w:multiLevelType w:val="multilevel"/>
    <w:tmpl w:val="947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B77A2"/>
    <w:multiLevelType w:val="multilevel"/>
    <w:tmpl w:val="9D3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C19AF"/>
    <w:multiLevelType w:val="hybridMultilevel"/>
    <w:tmpl w:val="99861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A5C0D"/>
    <w:multiLevelType w:val="singleLevel"/>
    <w:tmpl w:val="4128104E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332A1281"/>
    <w:multiLevelType w:val="multilevel"/>
    <w:tmpl w:val="483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02611"/>
    <w:multiLevelType w:val="hybridMultilevel"/>
    <w:tmpl w:val="349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F6706"/>
    <w:multiLevelType w:val="hybridMultilevel"/>
    <w:tmpl w:val="2D1CD168"/>
    <w:lvl w:ilvl="0" w:tplc="0B3AE9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5F5682"/>
    <w:multiLevelType w:val="hybridMultilevel"/>
    <w:tmpl w:val="8F30A440"/>
    <w:lvl w:ilvl="0" w:tplc="BEC6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5B222D"/>
    <w:multiLevelType w:val="multilevel"/>
    <w:tmpl w:val="B1E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34CCB"/>
    <w:multiLevelType w:val="multilevel"/>
    <w:tmpl w:val="76FE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67377"/>
    <w:multiLevelType w:val="multilevel"/>
    <w:tmpl w:val="F818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53A8E"/>
    <w:multiLevelType w:val="hybridMultilevel"/>
    <w:tmpl w:val="C6042F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3604F8C"/>
    <w:multiLevelType w:val="hybridMultilevel"/>
    <w:tmpl w:val="EFE8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11DD0"/>
    <w:multiLevelType w:val="multilevel"/>
    <w:tmpl w:val="E6F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30690"/>
    <w:multiLevelType w:val="multilevel"/>
    <w:tmpl w:val="D23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67B98"/>
    <w:multiLevelType w:val="hybridMultilevel"/>
    <w:tmpl w:val="867470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6"/>
  </w:num>
  <w:num w:numId="10">
    <w:abstractNumId w:val="11"/>
  </w:num>
  <w:num w:numId="11">
    <w:abstractNumId w:val="15"/>
  </w:num>
  <w:num w:numId="12">
    <w:abstractNumId w:val="19"/>
  </w:num>
  <w:num w:numId="13">
    <w:abstractNumId w:val="10"/>
  </w:num>
  <w:num w:numId="1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4"/>
  </w:num>
  <w:num w:numId="17">
    <w:abstractNumId w:val="5"/>
  </w:num>
  <w:num w:numId="18">
    <w:abstractNumId w:val="18"/>
  </w:num>
  <w:num w:numId="19">
    <w:abstractNumId w:val="12"/>
  </w:num>
  <w:num w:numId="20">
    <w:abstractNumId w:val="17"/>
  </w:num>
  <w:num w:numId="21">
    <w:abstractNumId w:val="8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6DED"/>
    <w:rsid w:val="00014AF6"/>
    <w:rsid w:val="0009531E"/>
    <w:rsid w:val="00097E7B"/>
    <w:rsid w:val="0013231D"/>
    <w:rsid w:val="001810AD"/>
    <w:rsid w:val="00191E23"/>
    <w:rsid w:val="00245416"/>
    <w:rsid w:val="002816B8"/>
    <w:rsid w:val="002B6C94"/>
    <w:rsid w:val="002B7888"/>
    <w:rsid w:val="002C4369"/>
    <w:rsid w:val="002F7E3F"/>
    <w:rsid w:val="00315857"/>
    <w:rsid w:val="00316CB0"/>
    <w:rsid w:val="00333A32"/>
    <w:rsid w:val="0038544C"/>
    <w:rsid w:val="0040574A"/>
    <w:rsid w:val="004104A9"/>
    <w:rsid w:val="00423A71"/>
    <w:rsid w:val="0043577E"/>
    <w:rsid w:val="00491E6E"/>
    <w:rsid w:val="0049346F"/>
    <w:rsid w:val="00496DED"/>
    <w:rsid w:val="004B418A"/>
    <w:rsid w:val="004B7755"/>
    <w:rsid w:val="00541255"/>
    <w:rsid w:val="00570F3F"/>
    <w:rsid w:val="005F7D09"/>
    <w:rsid w:val="006D553E"/>
    <w:rsid w:val="007322B2"/>
    <w:rsid w:val="00732A0E"/>
    <w:rsid w:val="00881631"/>
    <w:rsid w:val="00887421"/>
    <w:rsid w:val="008C1A4D"/>
    <w:rsid w:val="008E6E04"/>
    <w:rsid w:val="00907968"/>
    <w:rsid w:val="00954C17"/>
    <w:rsid w:val="00966A57"/>
    <w:rsid w:val="00983265"/>
    <w:rsid w:val="009C4515"/>
    <w:rsid w:val="00A2629E"/>
    <w:rsid w:val="00A63741"/>
    <w:rsid w:val="00A6426C"/>
    <w:rsid w:val="00A944EE"/>
    <w:rsid w:val="00AC3D89"/>
    <w:rsid w:val="00AD4EEC"/>
    <w:rsid w:val="00AE0A61"/>
    <w:rsid w:val="00B21CC2"/>
    <w:rsid w:val="00B67A49"/>
    <w:rsid w:val="00BD02E9"/>
    <w:rsid w:val="00C004ED"/>
    <w:rsid w:val="00C02BC0"/>
    <w:rsid w:val="00C810E7"/>
    <w:rsid w:val="00CF25FA"/>
    <w:rsid w:val="00DB6EF4"/>
    <w:rsid w:val="00DC1E33"/>
    <w:rsid w:val="00DC3470"/>
    <w:rsid w:val="00DE6D69"/>
    <w:rsid w:val="00E178B2"/>
    <w:rsid w:val="00E37BA9"/>
    <w:rsid w:val="00E62D7E"/>
    <w:rsid w:val="00E86657"/>
    <w:rsid w:val="00E94EF5"/>
    <w:rsid w:val="00E97C64"/>
    <w:rsid w:val="00EA298C"/>
    <w:rsid w:val="00ED0B0F"/>
    <w:rsid w:val="00F959C0"/>
    <w:rsid w:val="00FF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8C1A4D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uiPriority w:val="99"/>
    <w:rsid w:val="008C1A4D"/>
    <w:pPr>
      <w:widowControl w:val="0"/>
      <w:autoSpaceDE w:val="0"/>
      <w:autoSpaceDN w:val="0"/>
      <w:adjustRightInd w:val="0"/>
      <w:spacing w:line="276" w:lineRule="exact"/>
      <w:ind w:firstLine="1426"/>
      <w:jc w:val="both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8C1A4D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Times New Roman"/>
    </w:rPr>
  </w:style>
  <w:style w:type="paragraph" w:customStyle="1" w:styleId="Style63">
    <w:name w:val="Style63"/>
    <w:basedOn w:val="a"/>
    <w:uiPriority w:val="99"/>
    <w:rsid w:val="008C1A4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8">
    <w:name w:val="Style68"/>
    <w:basedOn w:val="a"/>
    <w:uiPriority w:val="99"/>
    <w:rsid w:val="008C1A4D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79">
    <w:name w:val="Style79"/>
    <w:basedOn w:val="a"/>
    <w:uiPriority w:val="99"/>
    <w:rsid w:val="008C1A4D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97">
    <w:name w:val="Style97"/>
    <w:basedOn w:val="a"/>
    <w:uiPriority w:val="99"/>
    <w:rsid w:val="008C1A4D"/>
    <w:pPr>
      <w:widowControl w:val="0"/>
      <w:autoSpaceDE w:val="0"/>
      <w:autoSpaceDN w:val="0"/>
      <w:adjustRightInd w:val="0"/>
      <w:spacing w:line="278" w:lineRule="exact"/>
      <w:ind w:hanging="149"/>
    </w:pPr>
    <w:rPr>
      <w:rFonts w:eastAsia="Times New Roman"/>
    </w:rPr>
  </w:style>
  <w:style w:type="character" w:customStyle="1" w:styleId="FontStyle181">
    <w:name w:val="Font Style181"/>
    <w:basedOn w:val="a0"/>
    <w:uiPriority w:val="99"/>
    <w:rsid w:val="008C1A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2">
    <w:name w:val="Font Style182"/>
    <w:basedOn w:val="a0"/>
    <w:uiPriority w:val="99"/>
    <w:rsid w:val="008C1A4D"/>
    <w:rPr>
      <w:rFonts w:ascii="Times New Roman" w:hAnsi="Times New Roman" w:cs="Times New Roman"/>
      <w:sz w:val="24"/>
      <w:szCs w:val="24"/>
    </w:rPr>
  </w:style>
  <w:style w:type="character" w:customStyle="1" w:styleId="FontStyle235">
    <w:name w:val="Font Style235"/>
    <w:basedOn w:val="a0"/>
    <w:uiPriority w:val="99"/>
    <w:rsid w:val="005412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4">
    <w:name w:val="Style114"/>
    <w:basedOn w:val="a"/>
    <w:uiPriority w:val="99"/>
    <w:rsid w:val="0054125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34">
    <w:name w:val="Font Style234"/>
    <w:basedOn w:val="a0"/>
    <w:uiPriority w:val="99"/>
    <w:rsid w:val="00541255"/>
    <w:rPr>
      <w:rFonts w:ascii="Times New Roman" w:hAnsi="Times New Roman" w:cs="Times New Roman"/>
      <w:sz w:val="22"/>
      <w:szCs w:val="22"/>
    </w:rPr>
  </w:style>
  <w:style w:type="paragraph" w:customStyle="1" w:styleId="Style168">
    <w:name w:val="Style168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541255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paragraph" w:customStyle="1" w:styleId="Style80">
    <w:name w:val="Style80"/>
    <w:basedOn w:val="a"/>
    <w:uiPriority w:val="99"/>
    <w:rsid w:val="00541255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Times New Roman"/>
    </w:rPr>
  </w:style>
  <w:style w:type="paragraph" w:customStyle="1" w:styleId="Style89">
    <w:name w:val="Style89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3">
    <w:name w:val="Style93"/>
    <w:basedOn w:val="a"/>
    <w:uiPriority w:val="99"/>
    <w:rsid w:val="00541255"/>
    <w:pPr>
      <w:widowControl w:val="0"/>
      <w:autoSpaceDE w:val="0"/>
      <w:autoSpaceDN w:val="0"/>
      <w:adjustRightInd w:val="0"/>
      <w:spacing w:line="275" w:lineRule="exact"/>
      <w:ind w:firstLine="2650"/>
    </w:pPr>
    <w:rPr>
      <w:rFonts w:eastAsia="Times New Roman"/>
    </w:rPr>
  </w:style>
  <w:style w:type="paragraph" w:customStyle="1" w:styleId="Style154">
    <w:name w:val="Style154"/>
    <w:basedOn w:val="a"/>
    <w:uiPriority w:val="99"/>
    <w:rsid w:val="00541255"/>
    <w:pPr>
      <w:widowControl w:val="0"/>
      <w:autoSpaceDE w:val="0"/>
      <w:autoSpaceDN w:val="0"/>
      <w:adjustRightInd w:val="0"/>
      <w:spacing w:line="485" w:lineRule="exact"/>
    </w:pPr>
    <w:rPr>
      <w:rFonts w:eastAsia="Times New Roman"/>
    </w:rPr>
  </w:style>
  <w:style w:type="paragraph" w:customStyle="1" w:styleId="Style159">
    <w:name w:val="Style159"/>
    <w:basedOn w:val="a"/>
    <w:uiPriority w:val="99"/>
    <w:rsid w:val="0054125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70">
    <w:name w:val="Style170"/>
    <w:basedOn w:val="a"/>
    <w:uiPriority w:val="99"/>
    <w:rsid w:val="00541255"/>
    <w:pPr>
      <w:widowControl w:val="0"/>
      <w:autoSpaceDE w:val="0"/>
      <w:autoSpaceDN w:val="0"/>
      <w:adjustRightInd w:val="0"/>
      <w:spacing w:line="278" w:lineRule="exact"/>
      <w:ind w:firstLine="667"/>
    </w:pPr>
    <w:rPr>
      <w:rFonts w:eastAsia="Times New Roman"/>
    </w:rPr>
  </w:style>
  <w:style w:type="paragraph" w:customStyle="1" w:styleId="Style174">
    <w:name w:val="Style174"/>
    <w:basedOn w:val="a"/>
    <w:uiPriority w:val="99"/>
    <w:rsid w:val="00541255"/>
    <w:pPr>
      <w:widowControl w:val="0"/>
      <w:autoSpaceDE w:val="0"/>
      <w:autoSpaceDN w:val="0"/>
      <w:adjustRightInd w:val="0"/>
      <w:spacing w:line="274" w:lineRule="exact"/>
      <w:ind w:firstLine="370"/>
    </w:pPr>
    <w:rPr>
      <w:rFonts w:eastAsia="Times New Roman"/>
    </w:rPr>
  </w:style>
  <w:style w:type="paragraph" w:customStyle="1" w:styleId="Style177">
    <w:name w:val="Style177"/>
    <w:basedOn w:val="a"/>
    <w:uiPriority w:val="99"/>
    <w:rsid w:val="00541255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181">
    <w:name w:val="Style181"/>
    <w:basedOn w:val="a"/>
    <w:uiPriority w:val="99"/>
    <w:rsid w:val="00541255"/>
    <w:pPr>
      <w:widowControl w:val="0"/>
      <w:autoSpaceDE w:val="0"/>
      <w:autoSpaceDN w:val="0"/>
      <w:adjustRightInd w:val="0"/>
      <w:spacing w:line="566" w:lineRule="exact"/>
      <w:ind w:hanging="346"/>
    </w:pPr>
    <w:rPr>
      <w:rFonts w:eastAsia="Times New Roman"/>
    </w:rPr>
  </w:style>
  <w:style w:type="paragraph" w:customStyle="1" w:styleId="Style182">
    <w:name w:val="Style182"/>
    <w:basedOn w:val="a"/>
    <w:uiPriority w:val="99"/>
    <w:rsid w:val="00541255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yle184">
    <w:name w:val="Style184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5">
    <w:name w:val="Style185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9">
    <w:name w:val="Style189"/>
    <w:basedOn w:val="a"/>
    <w:uiPriority w:val="99"/>
    <w:rsid w:val="00541255"/>
    <w:pPr>
      <w:widowControl w:val="0"/>
      <w:autoSpaceDE w:val="0"/>
      <w:autoSpaceDN w:val="0"/>
      <w:adjustRightInd w:val="0"/>
      <w:spacing w:line="557" w:lineRule="exact"/>
      <w:ind w:firstLine="360"/>
    </w:pPr>
    <w:rPr>
      <w:rFonts w:eastAsia="Times New Roman"/>
    </w:rPr>
  </w:style>
  <w:style w:type="paragraph" w:customStyle="1" w:styleId="Style197">
    <w:name w:val="Style197"/>
    <w:basedOn w:val="a"/>
    <w:uiPriority w:val="99"/>
    <w:rsid w:val="0054125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42">
    <w:name w:val="Font Style242"/>
    <w:basedOn w:val="a0"/>
    <w:uiPriority w:val="99"/>
    <w:rsid w:val="0054125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43">
    <w:name w:val="Font Style243"/>
    <w:basedOn w:val="a0"/>
    <w:uiPriority w:val="99"/>
    <w:rsid w:val="005412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6D553E"/>
    <w:pPr>
      <w:widowControl w:val="0"/>
      <w:autoSpaceDE w:val="0"/>
      <w:autoSpaceDN w:val="0"/>
      <w:adjustRightInd w:val="0"/>
      <w:spacing w:line="278" w:lineRule="exact"/>
      <w:ind w:firstLine="1435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6D553E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6D55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72">
    <w:name w:val="Style72"/>
    <w:basedOn w:val="a"/>
    <w:uiPriority w:val="99"/>
    <w:rsid w:val="006D55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88">
    <w:name w:val="Style88"/>
    <w:basedOn w:val="a"/>
    <w:uiPriority w:val="99"/>
    <w:rsid w:val="006D553E"/>
    <w:pPr>
      <w:widowControl w:val="0"/>
      <w:autoSpaceDE w:val="0"/>
      <w:autoSpaceDN w:val="0"/>
      <w:adjustRightInd w:val="0"/>
      <w:spacing w:line="275" w:lineRule="exact"/>
      <w:ind w:firstLine="998"/>
      <w:jc w:val="both"/>
    </w:pPr>
    <w:rPr>
      <w:rFonts w:eastAsia="Times New Roman"/>
    </w:rPr>
  </w:style>
  <w:style w:type="paragraph" w:customStyle="1" w:styleId="Style149">
    <w:name w:val="Style149"/>
    <w:basedOn w:val="a"/>
    <w:uiPriority w:val="99"/>
    <w:rsid w:val="006D553E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</w:rPr>
  </w:style>
  <w:style w:type="character" w:customStyle="1" w:styleId="FontStyle176">
    <w:name w:val="Font Style176"/>
    <w:basedOn w:val="a0"/>
    <w:uiPriority w:val="99"/>
    <w:rsid w:val="006D553E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0">
    <w:name w:val="Style140"/>
    <w:basedOn w:val="a"/>
    <w:uiPriority w:val="99"/>
    <w:rsid w:val="00AC3D89"/>
    <w:pPr>
      <w:widowControl w:val="0"/>
      <w:autoSpaceDE w:val="0"/>
      <w:autoSpaceDN w:val="0"/>
      <w:adjustRightInd w:val="0"/>
      <w:spacing w:line="276" w:lineRule="exact"/>
      <w:ind w:firstLine="600"/>
      <w:jc w:val="both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097E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3221</Words>
  <Characters>18361</Characters>
  <Application>Microsoft Office Word</Application>
  <DocSecurity>0</DocSecurity>
  <Lines>153</Lines>
  <Paragraphs>43</Paragraphs>
  <ScaleCrop>false</ScaleCrop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43</cp:revision>
  <dcterms:created xsi:type="dcterms:W3CDTF">2016-05-08T09:52:00Z</dcterms:created>
  <dcterms:modified xsi:type="dcterms:W3CDTF">2016-05-09T10:11:00Z</dcterms:modified>
</cp:coreProperties>
</file>