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5E" w:rsidRPr="00431DBA" w:rsidRDefault="00271F5E" w:rsidP="00271F5E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</w:t>
      </w:r>
      <w:r w:rsidR="00431DBA" w:rsidRPr="00431DBA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</w:p>
    <w:p w:rsidR="00271F5E" w:rsidRDefault="00271F5E" w:rsidP="00271F5E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412605">
        <w:rPr>
          <w:rFonts w:ascii="Times New Roman" w:hAnsi="Times New Roman"/>
          <w:b/>
          <w:sz w:val="24"/>
          <w:szCs w:val="24"/>
          <w:lang w:eastAsia="ar-SA"/>
        </w:rPr>
        <w:t>Частные вопросы промышленной токсикологии.</w:t>
      </w:r>
    </w:p>
    <w:p w:rsidR="00271F5E" w:rsidRPr="00412605" w:rsidRDefault="00271F5E" w:rsidP="00271F5E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71F5E" w:rsidRPr="00336BDF" w:rsidRDefault="00271F5E" w:rsidP="00271F5E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112C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BDF">
        <w:rPr>
          <w:rFonts w:ascii="Times New Roman" w:hAnsi="Times New Roman"/>
          <w:sz w:val="24"/>
          <w:szCs w:val="24"/>
        </w:rPr>
        <w:t>ознакомить студентов с особенностями действия различных производственных ядов,</w:t>
      </w:r>
      <w:r>
        <w:rPr>
          <w:rFonts w:ascii="Times New Roman" w:hAnsi="Times New Roman"/>
          <w:sz w:val="24"/>
          <w:szCs w:val="24"/>
        </w:rPr>
        <w:t xml:space="preserve"> мерам профилактики отравлений.</w:t>
      </w:r>
    </w:p>
    <w:p w:rsidR="00271F5E" w:rsidRPr="00412605" w:rsidRDefault="00271F5E" w:rsidP="00271F5E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271F5E" w:rsidRPr="00336BDF" w:rsidRDefault="00271F5E" w:rsidP="00271F5E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BDF">
        <w:rPr>
          <w:rFonts w:ascii="Times New Roman" w:hAnsi="Times New Roman"/>
          <w:sz w:val="24"/>
          <w:szCs w:val="24"/>
          <w:lang w:eastAsia="ru-RU"/>
        </w:rPr>
        <w:t>Органические растворители, понятие, классификация. Особенности биологического действия, профилактические мероприятия.</w:t>
      </w:r>
    </w:p>
    <w:p w:rsidR="00271F5E" w:rsidRPr="00336BDF" w:rsidRDefault="00271F5E" w:rsidP="00271F5E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BDF">
        <w:rPr>
          <w:rFonts w:ascii="Times New Roman" w:hAnsi="Times New Roman"/>
          <w:sz w:val="24"/>
          <w:szCs w:val="24"/>
          <w:lang w:eastAsia="ru-RU"/>
        </w:rPr>
        <w:t>Свинец, гигиеническая характеристика, применение в промышленности. Судьба яда в организме. Клинические проявления свинцовой интоксикации. Профилактические мероприятия.</w:t>
      </w:r>
    </w:p>
    <w:p w:rsidR="00271F5E" w:rsidRPr="00336BDF" w:rsidRDefault="00271F5E" w:rsidP="00271F5E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BDF">
        <w:rPr>
          <w:rFonts w:ascii="Times New Roman" w:hAnsi="Times New Roman"/>
          <w:sz w:val="24"/>
          <w:szCs w:val="24"/>
          <w:lang w:eastAsia="ru-RU"/>
        </w:rPr>
        <w:t>Марганец, гигиеническая характеристика, применение в промышленности. Судьба яда в организме. Клинические проявления марганцевой интоксикации. Профилактические мероприятия.</w:t>
      </w:r>
    </w:p>
    <w:p w:rsidR="00271F5E" w:rsidRPr="00336BDF" w:rsidRDefault="00271F5E" w:rsidP="00271F5E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BDF">
        <w:rPr>
          <w:rFonts w:ascii="Times New Roman" w:hAnsi="Times New Roman"/>
          <w:sz w:val="24"/>
          <w:szCs w:val="24"/>
          <w:lang w:eastAsia="ru-RU"/>
        </w:rPr>
        <w:t>Раздражающие газы, понятие, основные представители (хлор, аммиак, оксиды азота, сероводород), применение в промышленности. Клинические проявления отравлений. Профилактические мероприятия.</w:t>
      </w:r>
    </w:p>
    <w:p w:rsidR="00271F5E" w:rsidRPr="00412605" w:rsidRDefault="00271F5E" w:rsidP="00271F5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4126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органические растворители, свинец, марганец, хлор, аммиак, оксиды азота, сероводород, клинические проявления, лабораторные исследования, острое, подострое и хроническое отравления, лечебно-профилактическое питание</w:t>
      </w:r>
      <w:r w:rsidRPr="00412605">
        <w:rPr>
          <w:rFonts w:ascii="Times New Roman" w:hAnsi="Times New Roman"/>
          <w:sz w:val="24"/>
          <w:szCs w:val="24"/>
        </w:rPr>
        <w:t>.</w:t>
      </w:r>
    </w:p>
    <w:p w:rsidR="00271F5E" w:rsidRPr="00F3112C" w:rsidRDefault="00271F5E" w:rsidP="00271F5E">
      <w:pPr>
        <w:spacing w:after="0" w:line="240" w:lineRule="auto"/>
        <w:ind w:left="360" w:hanging="7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271F5E" w:rsidRPr="00C05DD7" w:rsidRDefault="00271F5E" w:rsidP="00271F5E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 xml:space="preserve">Гигиена труда: учебник / под ред. Н.Ф. </w:t>
      </w:r>
      <w:proofErr w:type="spellStart"/>
      <w:r w:rsidRPr="00C05DD7">
        <w:rPr>
          <w:rFonts w:ascii="Times New Roman" w:hAnsi="Times New Roman"/>
          <w:sz w:val="24"/>
          <w:szCs w:val="24"/>
        </w:rPr>
        <w:t>Измерова</w:t>
      </w:r>
      <w:proofErr w:type="spellEnd"/>
      <w:r w:rsidRPr="00C05DD7">
        <w:rPr>
          <w:rFonts w:ascii="Times New Roman" w:hAnsi="Times New Roman"/>
          <w:sz w:val="24"/>
          <w:szCs w:val="24"/>
        </w:rPr>
        <w:t>, В.Ф. Кириллова. – М.: ГЭОТАР-Медиа, 2010. – 592 с.</w:t>
      </w:r>
    </w:p>
    <w:p w:rsidR="00271F5E" w:rsidRPr="00C05DD7" w:rsidRDefault="00271F5E" w:rsidP="00271F5E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 xml:space="preserve">Кирюшин В.А., Большаков А.М., </w:t>
      </w:r>
      <w:proofErr w:type="spellStart"/>
      <w:r w:rsidRPr="00C05DD7">
        <w:rPr>
          <w:rFonts w:ascii="Times New Roman" w:hAnsi="Times New Roman"/>
          <w:sz w:val="24"/>
          <w:szCs w:val="24"/>
        </w:rPr>
        <w:t>Моталова</w:t>
      </w:r>
      <w:proofErr w:type="spellEnd"/>
      <w:r w:rsidRPr="00C05DD7">
        <w:rPr>
          <w:rFonts w:ascii="Times New Roman" w:hAnsi="Times New Roman"/>
          <w:sz w:val="24"/>
          <w:szCs w:val="24"/>
        </w:rPr>
        <w:t xml:space="preserve"> Т.В. Гигиена труда: Руководство к практическим занятиям. – М.: ГЭОТАР-Медиа, 2011. – 400 с.</w:t>
      </w:r>
    </w:p>
    <w:p w:rsidR="00271F5E" w:rsidRPr="00C05DD7" w:rsidRDefault="00271F5E" w:rsidP="00271F5E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>Руководство к практическим занятиям по гигиене труда / Под ред. В.Ф. Кириллова. – М.: ГЭОТАР-Медиа, 2008. – 416 с.</w:t>
      </w:r>
    </w:p>
    <w:p w:rsidR="00271F5E" w:rsidRDefault="00271F5E" w:rsidP="00271F5E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>Алексеев С.В. Гигиена труда / С.В. Алексеев, В.Р. Усенко. – М.: Медицина, 1988. – 576 с.</w:t>
      </w:r>
    </w:p>
    <w:p w:rsidR="00271F5E" w:rsidRPr="007608A3" w:rsidRDefault="00271F5E" w:rsidP="00271F5E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7608A3">
        <w:rPr>
          <w:rFonts w:ascii="Times New Roman" w:hAnsi="Times New Roman"/>
          <w:sz w:val="24"/>
          <w:szCs w:val="24"/>
          <w:lang w:eastAsia="en-US"/>
        </w:rPr>
        <w:t>Сетко</w:t>
      </w:r>
      <w:proofErr w:type="spellEnd"/>
      <w:r w:rsidRPr="007608A3">
        <w:rPr>
          <w:rFonts w:ascii="Times New Roman" w:hAnsi="Times New Roman"/>
          <w:sz w:val="24"/>
          <w:szCs w:val="24"/>
          <w:lang w:eastAsia="en-US"/>
        </w:rPr>
        <w:t xml:space="preserve"> А.Г., Фатеева Т.А., Володина Е.А., Тришина С.П. Под ред. проф. А.Г. </w:t>
      </w:r>
      <w:proofErr w:type="spellStart"/>
      <w:r w:rsidRPr="007608A3">
        <w:rPr>
          <w:rFonts w:ascii="Times New Roman" w:hAnsi="Times New Roman"/>
          <w:sz w:val="24"/>
          <w:szCs w:val="24"/>
          <w:lang w:eastAsia="en-US"/>
        </w:rPr>
        <w:t>Сетко</w:t>
      </w:r>
      <w:proofErr w:type="spellEnd"/>
      <w:r w:rsidRPr="007608A3">
        <w:rPr>
          <w:rFonts w:ascii="Times New Roman" w:hAnsi="Times New Roman"/>
          <w:sz w:val="24"/>
          <w:szCs w:val="24"/>
          <w:lang w:eastAsia="en-US"/>
        </w:rPr>
        <w:t xml:space="preserve"> Лечебно-профилактическое питание в профилактике профессиональных заболеваний. Учебное пособие для студентов медико-профилактического, педиатрического, лечебного и фармацевтического факультетов. – Оренбург, 2014. – 115 с.</w:t>
      </w:r>
    </w:p>
    <w:p w:rsidR="00271F5E" w:rsidRPr="00D20F3E" w:rsidRDefault="00271F5E" w:rsidP="00271F5E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20F3E">
        <w:rPr>
          <w:rFonts w:ascii="Times New Roman" w:hAnsi="Times New Roman"/>
          <w:sz w:val="24"/>
          <w:szCs w:val="24"/>
          <w:lang w:eastAsia="ru-RU"/>
        </w:rPr>
        <w:t>Нормативная документация:</w:t>
      </w:r>
    </w:p>
    <w:p w:rsidR="00431DBA" w:rsidRPr="00431DBA" w:rsidRDefault="00431DBA" w:rsidP="00431DBA">
      <w:pPr>
        <w:pStyle w:val="a3"/>
        <w:numPr>
          <w:ilvl w:val="0"/>
          <w:numId w:val="23"/>
        </w:numPr>
        <w:tabs>
          <w:tab w:val="num" w:pos="36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bookmarkStart w:id="0" w:name="_GoBack"/>
      <w:r w:rsidRPr="00431DB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31DBA" w:rsidRPr="00431DBA" w:rsidRDefault="00431DBA" w:rsidP="00431DBA">
      <w:pPr>
        <w:pStyle w:val="a3"/>
        <w:numPr>
          <w:ilvl w:val="0"/>
          <w:numId w:val="23"/>
        </w:numPr>
        <w:tabs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31DBA">
        <w:rPr>
          <w:rFonts w:ascii="Times New Roman" w:hAnsi="Times New Roman"/>
          <w:sz w:val="24"/>
          <w:szCs w:val="24"/>
        </w:rPr>
        <w:t>Р.2.2.2006-05 «</w:t>
      </w:r>
      <w:proofErr w:type="gramStart"/>
      <w:r w:rsidRPr="00431DBA">
        <w:rPr>
          <w:rFonts w:ascii="Times New Roman" w:hAnsi="Times New Roman"/>
          <w:sz w:val="24"/>
          <w:szCs w:val="24"/>
        </w:rPr>
        <w:t>Руководство по гигиенической оценке</w:t>
      </w:r>
      <w:proofErr w:type="gramEnd"/>
      <w:r w:rsidRPr="00431DBA">
        <w:rPr>
          <w:rFonts w:ascii="Times New Roman" w:hAnsi="Times New Roman"/>
          <w:sz w:val="24"/>
          <w:szCs w:val="24"/>
        </w:rPr>
        <w:t xml:space="preserve"> факторов рабочей среды и трудового процесса. Критерии и классификация условий труда».</w:t>
      </w:r>
    </w:p>
    <w:p w:rsidR="00431DBA" w:rsidRPr="00431DBA" w:rsidRDefault="00431DBA" w:rsidP="00431DBA">
      <w:pPr>
        <w:pStyle w:val="a3"/>
        <w:numPr>
          <w:ilvl w:val="0"/>
          <w:numId w:val="23"/>
        </w:numPr>
        <w:tabs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31DBA">
        <w:rPr>
          <w:rFonts w:ascii="Times New Roman" w:hAnsi="Times New Roman"/>
          <w:sz w:val="24"/>
          <w:szCs w:val="24"/>
        </w:rPr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431DBA" w:rsidRPr="00431DBA" w:rsidRDefault="00431DBA" w:rsidP="00431DBA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DBA">
        <w:rPr>
          <w:rFonts w:ascii="Times New Roman" w:hAnsi="Times New Roman"/>
          <w:sz w:val="24"/>
          <w:szCs w:val="24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bookmarkEnd w:id="0"/>
    <w:p w:rsidR="00271F5E" w:rsidRPr="00D20F3E" w:rsidRDefault="00271F5E" w:rsidP="00431D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D20F3E">
        <w:rPr>
          <w:rFonts w:ascii="Times New Roman" w:hAnsi="Times New Roman"/>
          <w:sz w:val="24"/>
          <w:szCs w:val="24"/>
          <w:lang w:eastAsia="ru-RU"/>
        </w:rPr>
        <w:t>Лекции кафедры.</w:t>
      </w:r>
    </w:p>
    <w:p w:rsidR="00271F5E" w:rsidRPr="00D20F3E" w:rsidRDefault="00271F5E" w:rsidP="00271F5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271F5E" w:rsidRPr="00D20F3E" w:rsidRDefault="00271F5E" w:rsidP="00271F5E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271F5E" w:rsidRPr="00D20F3E" w:rsidRDefault="00271F5E" w:rsidP="00271F5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271F5E" w:rsidRPr="00D20F3E" w:rsidRDefault="00271F5E" w:rsidP="00271F5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материально-технические (мел, доска, калькулятор).</w:t>
      </w:r>
    </w:p>
    <w:p w:rsidR="002C3C58" w:rsidRPr="00271F5E" w:rsidRDefault="002C3C58" w:rsidP="00271F5E"/>
    <w:sectPr w:rsidR="002C3C58" w:rsidRPr="00271F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64A86"/>
    <w:multiLevelType w:val="hybridMultilevel"/>
    <w:tmpl w:val="6A0A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17"/>
  </w:num>
  <w:num w:numId="7">
    <w:abstractNumId w:val="5"/>
  </w:num>
  <w:num w:numId="8">
    <w:abstractNumId w:val="16"/>
  </w:num>
  <w:num w:numId="9">
    <w:abstractNumId w:val="6"/>
  </w:num>
  <w:num w:numId="10">
    <w:abstractNumId w:val="8"/>
  </w:num>
  <w:num w:numId="11">
    <w:abstractNumId w:val="0"/>
  </w:num>
  <w:num w:numId="12">
    <w:abstractNumId w:val="21"/>
  </w:num>
  <w:num w:numId="13">
    <w:abstractNumId w:val="4"/>
  </w:num>
  <w:num w:numId="14">
    <w:abstractNumId w:val="18"/>
  </w:num>
  <w:num w:numId="15">
    <w:abstractNumId w:val="20"/>
  </w:num>
  <w:num w:numId="16">
    <w:abstractNumId w:val="19"/>
  </w:num>
  <w:num w:numId="17">
    <w:abstractNumId w:val="7"/>
  </w:num>
  <w:num w:numId="18">
    <w:abstractNumId w:val="2"/>
  </w:num>
  <w:num w:numId="19">
    <w:abstractNumId w:val="15"/>
  </w:num>
  <w:num w:numId="20">
    <w:abstractNumId w:val="1"/>
  </w:num>
  <w:num w:numId="21">
    <w:abstractNumId w:val="1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271F5E"/>
    <w:rsid w:val="002C3C58"/>
    <w:rsid w:val="00332F82"/>
    <w:rsid w:val="00351D7B"/>
    <w:rsid w:val="00417F0E"/>
    <w:rsid w:val="00431DBA"/>
    <w:rsid w:val="006C1016"/>
    <w:rsid w:val="00835E07"/>
    <w:rsid w:val="00982206"/>
    <w:rsid w:val="00A15518"/>
    <w:rsid w:val="00AE5789"/>
    <w:rsid w:val="00BE3AD5"/>
    <w:rsid w:val="00C06553"/>
    <w:rsid w:val="00C60BD6"/>
    <w:rsid w:val="00DE7888"/>
    <w:rsid w:val="00E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B920"/>
  <w15:docId w15:val="{228F4B84-229D-4C23-A77A-4CF18F08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2022-02-09T08:02:00Z</dcterms:created>
  <dcterms:modified xsi:type="dcterms:W3CDTF">2022-02-09T08:02:00Z</dcterms:modified>
</cp:coreProperties>
</file>