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A9" w:rsidRPr="00DE6610" w:rsidRDefault="008612A9" w:rsidP="008612A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Практическое заня</w:t>
      </w:r>
      <w:r>
        <w:rPr>
          <w:rFonts w:ascii="Times New Roman" w:hAnsi="Times New Roman"/>
          <w:b/>
          <w:sz w:val="24"/>
          <w:szCs w:val="24"/>
          <w:lang w:eastAsia="ar-SA"/>
        </w:rPr>
        <w:t>тие №</w:t>
      </w:r>
      <w:r w:rsidR="00A179E5">
        <w:rPr>
          <w:rFonts w:ascii="Times New Roman" w:hAnsi="Times New Roman"/>
          <w:b/>
          <w:sz w:val="24"/>
          <w:szCs w:val="24"/>
          <w:lang w:eastAsia="ar-SA"/>
        </w:rPr>
        <w:t>2</w:t>
      </w:r>
    </w:p>
    <w:p w:rsidR="008612A9" w:rsidRDefault="008612A9" w:rsidP="008612A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Физиолого-гигиенические проблемы утомления.</w:t>
      </w:r>
    </w:p>
    <w:p w:rsidR="008612A9" w:rsidRPr="00282FF7" w:rsidRDefault="008612A9" w:rsidP="008612A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612A9" w:rsidRPr="00DE6610" w:rsidRDefault="008612A9" w:rsidP="008612A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6610">
        <w:rPr>
          <w:rFonts w:ascii="Times New Roman" w:hAnsi="Times New Roman"/>
          <w:sz w:val="24"/>
          <w:szCs w:val="24"/>
          <w:lang w:eastAsia="ru-RU"/>
        </w:rPr>
        <w:t>ознакомить студентов с проявлениями утомления и переутомления, мерами профилактики утомления.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Работоспособность, понятие, динамика работоспособности в течении рабочей смены, года.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Восстановление работоспособности, факторы его определяющие.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Утомление, понятие, его проявления. Современные представления о природе утомления.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Принципы диагностики утомления.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Основные мероприятия по профилактике утомления.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Переутомление, понятие, проявления.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Профессиональные заболевания, связанные с переутомлением.</w:t>
      </w:r>
    </w:p>
    <w:p w:rsidR="008612A9" w:rsidRPr="00DE6610" w:rsidRDefault="008612A9" w:rsidP="008612A9">
      <w:pPr>
        <w:numPr>
          <w:ilvl w:val="0"/>
          <w:numId w:val="29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Меры профилактики переутомления.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работоспособность, динамика работоспособности, кривая работоспособности, восстановление работоспособности, фазы восстановления работоспособности, утомление, перенапряжение, переутомление.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Рекомендуемая литература:</w:t>
      </w:r>
    </w:p>
    <w:p w:rsidR="008612A9" w:rsidRPr="00DE6610" w:rsidRDefault="008612A9" w:rsidP="008612A9">
      <w:pPr>
        <w:numPr>
          <w:ilvl w:val="0"/>
          <w:numId w:val="30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/ под ред. Н.Ф. </w:t>
      </w:r>
      <w:proofErr w:type="spellStart"/>
      <w:r w:rsidRPr="00DE6610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DE6610">
        <w:rPr>
          <w:rFonts w:ascii="Times New Roman" w:hAnsi="Times New Roman"/>
          <w:sz w:val="24"/>
          <w:szCs w:val="24"/>
          <w:lang w:eastAsia="ar-SA"/>
        </w:rPr>
        <w:t>, В.Ф. Кириллова. – М.: ГЭОТАР-Медиа, 2010. – 592 с.</w:t>
      </w:r>
    </w:p>
    <w:p w:rsidR="008612A9" w:rsidRPr="00DE6610" w:rsidRDefault="008612A9" w:rsidP="008612A9">
      <w:pPr>
        <w:numPr>
          <w:ilvl w:val="0"/>
          <w:numId w:val="30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Алексеев С.В. Гигиена труда / С.В. Алексеев, В.Р. Усенко. – М.: Медицина, 1988. – 576 с.</w:t>
      </w:r>
    </w:p>
    <w:p w:rsidR="008612A9" w:rsidRDefault="008612A9" w:rsidP="008612A9">
      <w:pPr>
        <w:numPr>
          <w:ilvl w:val="0"/>
          <w:numId w:val="30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bCs/>
          <w:sz w:val="24"/>
          <w:szCs w:val="24"/>
          <w:lang w:eastAsia="ar-SA"/>
        </w:rPr>
        <w:t xml:space="preserve">Физиолого-гигиенические аспекты трудовой деятельности: учебное пособие / </w:t>
      </w:r>
      <w:proofErr w:type="spellStart"/>
      <w:r w:rsidRPr="00DE6610">
        <w:rPr>
          <w:rFonts w:ascii="Times New Roman" w:hAnsi="Times New Roman"/>
          <w:bCs/>
          <w:sz w:val="24"/>
          <w:szCs w:val="24"/>
          <w:lang w:eastAsia="ar-SA"/>
        </w:rPr>
        <w:t>Сетко</w:t>
      </w:r>
      <w:proofErr w:type="spellEnd"/>
      <w:r w:rsidRPr="00DE6610">
        <w:rPr>
          <w:rFonts w:ascii="Times New Roman" w:hAnsi="Times New Roman"/>
          <w:bCs/>
          <w:sz w:val="24"/>
          <w:szCs w:val="24"/>
          <w:lang w:eastAsia="ar-SA"/>
        </w:rPr>
        <w:t xml:space="preserve"> А.Г., </w:t>
      </w:r>
      <w:proofErr w:type="spellStart"/>
      <w:r w:rsidRPr="00DE6610">
        <w:rPr>
          <w:rFonts w:ascii="Times New Roman" w:hAnsi="Times New Roman"/>
          <w:bCs/>
          <w:sz w:val="24"/>
          <w:szCs w:val="24"/>
          <w:lang w:eastAsia="ar-SA"/>
        </w:rPr>
        <w:t>Сетко</w:t>
      </w:r>
      <w:proofErr w:type="spellEnd"/>
      <w:r w:rsidRPr="00DE6610">
        <w:rPr>
          <w:rFonts w:ascii="Times New Roman" w:hAnsi="Times New Roman"/>
          <w:bCs/>
          <w:sz w:val="24"/>
          <w:szCs w:val="24"/>
          <w:lang w:eastAsia="ar-SA"/>
        </w:rPr>
        <w:t xml:space="preserve"> Н.П., Тришина С.П. – Оренбург, 2013. – 100 с.</w:t>
      </w:r>
    </w:p>
    <w:p w:rsidR="008612A9" w:rsidRPr="00282FF7" w:rsidRDefault="008612A9" w:rsidP="008612A9">
      <w:pPr>
        <w:numPr>
          <w:ilvl w:val="0"/>
          <w:numId w:val="30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lang w:eastAsia="ar-SA"/>
        </w:rPr>
        <w:t>Нормативная документация:</w:t>
      </w:r>
    </w:p>
    <w:p w:rsidR="00A179E5" w:rsidRPr="00A179E5" w:rsidRDefault="00A179E5" w:rsidP="00A179E5">
      <w:pPr>
        <w:pStyle w:val="a3"/>
        <w:numPr>
          <w:ilvl w:val="0"/>
          <w:numId w:val="32"/>
        </w:numPr>
        <w:tabs>
          <w:tab w:val="left" w:pos="288"/>
          <w:tab w:val="left" w:pos="430"/>
          <w:tab w:val="left" w:pos="8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_GoBack"/>
      <w:r w:rsidRPr="00A179E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Р.2.2.2006-05 «</w:t>
      </w:r>
      <w:proofErr w:type="gramStart"/>
      <w:r w:rsidRPr="00A179E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Руководство по гигиенической оценке</w:t>
      </w:r>
      <w:proofErr w:type="gramEnd"/>
      <w:r w:rsidRPr="00A179E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факторов рабочей среды и трудового процесса. Критерии и классификация условий труда»</w:t>
      </w:r>
    </w:p>
    <w:p w:rsidR="00A179E5" w:rsidRPr="00A179E5" w:rsidRDefault="00A179E5" w:rsidP="00A179E5">
      <w:pPr>
        <w:pStyle w:val="a3"/>
        <w:numPr>
          <w:ilvl w:val="0"/>
          <w:numId w:val="32"/>
        </w:numPr>
        <w:tabs>
          <w:tab w:val="left" w:pos="288"/>
          <w:tab w:val="left" w:pos="430"/>
          <w:tab w:val="left" w:pos="85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A179E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2. 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179E5" w:rsidRPr="00A179E5" w:rsidRDefault="00A179E5" w:rsidP="00A179E5">
      <w:pPr>
        <w:pStyle w:val="a3"/>
        <w:numPr>
          <w:ilvl w:val="0"/>
          <w:numId w:val="3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A179E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3.</w:t>
      </w:r>
      <w:r w:rsidRPr="00A179E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bookmarkEnd w:id="0"/>
    <w:p w:rsidR="008612A9" w:rsidRPr="00DE6610" w:rsidRDefault="00A179E5" w:rsidP="00A179E5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8612A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8612A9" w:rsidRPr="00DE6610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8612A9" w:rsidRPr="00DE6610" w:rsidRDefault="008612A9" w:rsidP="008612A9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8612A9" w:rsidRPr="00DE6610" w:rsidRDefault="008612A9" w:rsidP="008612A9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8612A9" w:rsidRPr="00DE6610" w:rsidRDefault="008612A9" w:rsidP="008612A9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материально-техниче</w:t>
      </w:r>
      <w:r>
        <w:rPr>
          <w:rFonts w:ascii="Times New Roman" w:hAnsi="Times New Roman"/>
          <w:sz w:val="24"/>
          <w:szCs w:val="24"/>
          <w:lang w:eastAsia="ar-SA"/>
        </w:rPr>
        <w:t>ские (мел, доска, калькулятор).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4E6031"/>
    <w:multiLevelType w:val="hybridMultilevel"/>
    <w:tmpl w:val="E91E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792A7A"/>
    <w:multiLevelType w:val="hybridMultilevel"/>
    <w:tmpl w:val="8EF0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4"/>
  </w:num>
  <w:num w:numId="5">
    <w:abstractNumId w:val="18"/>
  </w:num>
  <w:num w:numId="6">
    <w:abstractNumId w:val="23"/>
  </w:num>
  <w:num w:numId="7">
    <w:abstractNumId w:val="4"/>
  </w:num>
  <w:num w:numId="8">
    <w:abstractNumId w:val="22"/>
  </w:num>
  <w:num w:numId="9">
    <w:abstractNumId w:val="5"/>
  </w:num>
  <w:num w:numId="10">
    <w:abstractNumId w:val="8"/>
  </w:num>
  <w:num w:numId="11">
    <w:abstractNumId w:val="0"/>
  </w:num>
  <w:num w:numId="12">
    <w:abstractNumId w:val="30"/>
  </w:num>
  <w:num w:numId="13">
    <w:abstractNumId w:val="3"/>
  </w:num>
  <w:num w:numId="14">
    <w:abstractNumId w:val="26"/>
  </w:num>
  <w:num w:numId="15">
    <w:abstractNumId w:val="29"/>
  </w:num>
  <w:num w:numId="16">
    <w:abstractNumId w:val="28"/>
  </w:num>
  <w:num w:numId="17">
    <w:abstractNumId w:val="7"/>
  </w:num>
  <w:num w:numId="18">
    <w:abstractNumId w:val="2"/>
  </w:num>
  <w:num w:numId="19">
    <w:abstractNumId w:val="20"/>
  </w:num>
  <w:num w:numId="20">
    <w:abstractNumId w:val="1"/>
  </w:num>
  <w:num w:numId="21">
    <w:abstractNumId w:val="19"/>
  </w:num>
  <w:num w:numId="22">
    <w:abstractNumId w:val="6"/>
  </w:num>
  <w:num w:numId="23">
    <w:abstractNumId w:val="16"/>
  </w:num>
  <w:num w:numId="24">
    <w:abstractNumId w:val="24"/>
  </w:num>
  <w:num w:numId="25">
    <w:abstractNumId w:val="12"/>
  </w:num>
  <w:num w:numId="26">
    <w:abstractNumId w:val="10"/>
  </w:num>
  <w:num w:numId="27">
    <w:abstractNumId w:val="9"/>
  </w:num>
  <w:num w:numId="28">
    <w:abstractNumId w:val="25"/>
  </w:num>
  <w:num w:numId="29">
    <w:abstractNumId w:val="21"/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71F5E"/>
    <w:rsid w:val="002C3C58"/>
    <w:rsid w:val="00332F82"/>
    <w:rsid w:val="00351D7B"/>
    <w:rsid w:val="00417F0E"/>
    <w:rsid w:val="005206CE"/>
    <w:rsid w:val="006C1016"/>
    <w:rsid w:val="006D346A"/>
    <w:rsid w:val="008612A9"/>
    <w:rsid w:val="00A15518"/>
    <w:rsid w:val="00A179E5"/>
    <w:rsid w:val="00AC449C"/>
    <w:rsid w:val="00AE5789"/>
    <w:rsid w:val="00B15B45"/>
    <w:rsid w:val="00BE3AD5"/>
    <w:rsid w:val="00C06553"/>
    <w:rsid w:val="00C60BD6"/>
    <w:rsid w:val="00DC2EF3"/>
    <w:rsid w:val="00DE7888"/>
    <w:rsid w:val="00E87238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0A99"/>
  <w15:docId w15:val="{9778055F-B60C-4B87-BFDB-36B6507F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2022-02-09T08:16:00Z</dcterms:created>
  <dcterms:modified xsi:type="dcterms:W3CDTF">2022-02-09T08:16:00Z</dcterms:modified>
</cp:coreProperties>
</file>