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>ОБУЧАЮЩИХСЯ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3C2B40" w:rsidRPr="003C2B40" w:rsidRDefault="003C2B40" w:rsidP="003C2B40">
      <w:pPr>
        <w:jc w:val="center"/>
        <w:rPr>
          <w:b/>
          <w:sz w:val="28"/>
          <w:szCs w:val="20"/>
          <w:u w:val="single"/>
        </w:rPr>
      </w:pPr>
      <w:r w:rsidRPr="003C2B40">
        <w:rPr>
          <w:b/>
          <w:sz w:val="28"/>
          <w:szCs w:val="20"/>
          <w:u w:val="single"/>
        </w:rPr>
        <w:t>31.08.69 Челюстно-лицевая хирургия</w:t>
      </w:r>
    </w:p>
    <w:p w:rsidR="00B8270A" w:rsidRPr="002C3677" w:rsidRDefault="00B8270A" w:rsidP="008A11C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3C2B40" w:rsidRPr="003C2B40">
        <w:rPr>
          <w:color w:val="000000"/>
        </w:rPr>
        <w:t>31.08.69 Челюстно-лицевая хирургия</w:t>
      </w:r>
      <w:r w:rsidR="008A11CC" w:rsidRPr="008A11CC">
        <w:rPr>
          <w:color w:val="000000"/>
        </w:rPr>
        <w:t>,</w:t>
      </w:r>
      <w:r w:rsidR="008A11CC">
        <w:rPr>
          <w:color w:val="000000"/>
        </w:rPr>
        <w:t xml:space="preserve"> </w:t>
      </w:r>
      <w:r w:rsidRPr="002C3677">
        <w:rPr>
          <w:color w:val="000000"/>
        </w:rPr>
        <w:t xml:space="preserve">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5C608D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организации медицинской помощи при чрезвычайных ситуациях, в том числе медицинской эвакуации</w:t>
      </w:r>
    </w:p>
    <w:p w:rsidR="00B8270A" w:rsidRP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ПК-3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8270A" w:rsidRDefault="005C608D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ПК-7</w:t>
      </w:r>
      <w:r w:rsidR="00B8270A">
        <w:rPr>
          <w:rFonts w:ascii="Times New Roman" w:hAnsi="Times New Roman"/>
          <w:b/>
          <w:color w:val="000000"/>
          <w:sz w:val="28"/>
          <w:szCs w:val="28"/>
        </w:rPr>
        <w:t>. Г</w:t>
      </w:r>
      <w:r>
        <w:rPr>
          <w:rFonts w:ascii="Times New Roman" w:hAnsi="Times New Roman"/>
          <w:b/>
          <w:color w:val="000000"/>
          <w:sz w:val="28"/>
          <w:szCs w:val="28"/>
        </w:rPr>
        <w:t>отовность к</w:t>
      </w:r>
      <w:r w:rsidR="00B8270A" w:rsidRPr="00B8270A">
        <w:rPr>
          <w:rFonts w:ascii="Times New Roman" w:hAnsi="Times New Roman"/>
          <w:b/>
          <w:color w:val="000000"/>
          <w:sz w:val="28"/>
          <w:szCs w:val="28"/>
        </w:rPr>
        <w:t xml:space="preserve"> оказани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="00B8270A" w:rsidRPr="00B8270A">
        <w:rPr>
          <w:rFonts w:ascii="Times New Roman" w:hAnsi="Times New Roman"/>
          <w:b/>
          <w:color w:val="000000"/>
          <w:sz w:val="28"/>
          <w:szCs w:val="28"/>
        </w:rPr>
        <w:t xml:space="preserve"> медицинской помощи при чрезвычайных ситуациях, в том числе участию в медицинской эвакуации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5.СМЕНА ПОСТЕЛЬНОГО БЕЛЬЯ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 ПОМЫВКА ПРОЖИВАЮЩИХ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УБЕЖИЩЕ, РАСПОЛОЖЕННОЕ В </w:t>
      </w:r>
      <w:proofErr w:type="spell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мобильных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ч.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 за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4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6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4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2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>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и м е н о в а н и е   п р о д у к т о в   и   м а с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а 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  а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 л ь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в о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5C608D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anchor="RANGE!A1#RANGE!A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П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 ж и 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овоще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а)бутилированная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б)вода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в)минеральная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г)вода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а)содержание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б)микробиологические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в)коли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г)коли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а)талые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б)поверхностные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в)верховодка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г)подземные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1.Нормы обеспеченности водой населения для удовлетворение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г)через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а)обеззараживания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б)обезвреживания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в)дезактивации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г)опреснения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а)проводится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г)при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Шустрая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предложенных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проблемно-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CBFA"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C2DF4"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DF706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3472"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3E9D"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451CB"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E410"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E6DC3"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9B75F"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F017"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C6A3D"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4414"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DAF7"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D124C"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F6092"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D3012"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B3290"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8D05E"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A343D"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727B"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BA4E1"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8A6A6"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2D6F0"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8955F"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A19C"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8D203"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2A97"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D7E1"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1D88"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BD53"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292E"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7D141"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2DEED"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939C"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AB5A"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E12FC"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C2F0"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DBC94"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E3C7C"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запасами хлеба. При осмотре склада представителем мед. службы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мед. экспертизы.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39"/>
        <w:gridCol w:w="7206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1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 (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</w:t>
      </w:r>
      <w:r w:rsidR="00F0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2" w:name="_GoBack"/>
      <w:bookmarkEnd w:id="2"/>
      <w:r w:rsidR="002D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544E07" w:rsidRPr="005916D1" w:rsidRDefault="00544E07" w:rsidP="002D2AC5">
      <w:pPr>
        <w:spacing w:after="0" w:line="240" w:lineRule="auto"/>
        <w:jc w:val="both"/>
        <w:rPr>
          <w:sz w:val="32"/>
          <w:szCs w:val="32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002. Вентилируемые убежища защищают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014. В убежищах в женских санузлах один унитаз рассчитан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015. В убежищах в мужских санузлах один унитаз рассчитан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016. В убежищах, количество помещений для хранения продовольствия принимают исходя из расчета одно помещение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020. Режим чистой вентиляции в убежищах защищает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021. Режим фильтровентиляции в убежищах защищает от: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024. Допустимая концентрация двуокиси углерода в убежищах до: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025. Непрерывное пребывание в противорадиационных укрытиях рассчитано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032. Помывка проживающих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033. Смена постельного белья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036. Умывальники в ПВР рассчитывают с учётом 1 умывальник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037. Туалеты в ПВР рассчитывают с учётом 1 туалет на: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коли-титр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коли-индекс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Приоритетный водоисточник в период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мед. службы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удовлетворение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используют при недостатке кислорода, при высоких концентрациях СДЯВ в воздухе и под водой на малых глубинах: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фильтрующих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кроме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контроль за выполнением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санитарных  норм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кроме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</w:t>
      </w:r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из  трубчатого</w:t>
      </w:r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колодца </w:t>
      </w:r>
      <w:proofErr w:type="spell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Хлориды 500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102. В ПВР питьевая вода из трубчатого колодца обладает следующими качествами: Запах и привкус 2 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балла,Цветность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108.В период эвакуации населению раздали бутилированную воду, которая характеризовалась следующим 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составом:Жесткость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течении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5C608D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  <w:tr w:rsidR="00C13BF7" w:rsidRPr="00B0660F" w:rsidTr="005C608D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5C608D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5C608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5C608D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2D2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обучающихся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36"/>
        <w:gridCol w:w="700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15433A" w:rsidRPr="004D1539" w:rsidTr="005C608D">
        <w:trPr>
          <w:trHeight w:val="1824"/>
        </w:trPr>
        <w:tc>
          <w:tcPr>
            <w:tcW w:w="0" w:type="auto"/>
            <w:vAlign w:val="center"/>
          </w:tcPr>
          <w:p w:rsidR="0015433A" w:rsidRPr="004D1539" w:rsidRDefault="0015433A" w:rsidP="00787B4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15433A" w:rsidRPr="004D1539" w:rsidRDefault="0015433A" w:rsidP="0015433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787B4B" w:rsidRPr="004D1539" w:rsidTr="00787B4B">
        <w:trPr>
          <w:trHeight w:val="1216"/>
        </w:trPr>
        <w:tc>
          <w:tcPr>
            <w:tcW w:w="0" w:type="auto"/>
            <w:vAlign w:val="center"/>
          </w:tcPr>
          <w:p w:rsidR="00787B4B" w:rsidRPr="00787B4B" w:rsidRDefault="00787B4B" w:rsidP="004D1539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787B4B" w:rsidRPr="004D1539" w:rsidRDefault="00787B4B" w:rsidP="003C4F0B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 w:rsidR="0015433A"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 w:rsidR="003C4F0B"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4D1539" w:rsidRPr="004D1539" w:rsidRDefault="00544E07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52"/>
        <w:gridCol w:w="2928"/>
        <w:gridCol w:w="3031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ПК-1</w:t>
            </w:r>
            <w:r w:rsidR="005C608D">
              <w:rPr>
                <w:color w:val="000000"/>
                <w:sz w:val="24"/>
                <w:szCs w:val="24"/>
              </w:rPr>
              <w:t xml:space="preserve">2 </w:t>
            </w:r>
            <w:r w:rsidR="006B59A2" w:rsidRPr="006B59A2">
              <w:rPr>
                <w:color w:val="000000"/>
                <w:sz w:val="24"/>
                <w:szCs w:val="24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6B59A2" w:rsidRPr="006B59A2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</w:t>
            </w:r>
            <w:r w:rsidR="00A8148C">
              <w:rPr>
                <w:color w:val="000000"/>
                <w:sz w:val="24"/>
                <w:szCs w:val="24"/>
              </w:rPr>
              <w:t>ации</w:t>
            </w:r>
            <w:r w:rsidR="006B59A2" w:rsidRPr="006B59A2">
              <w:rPr>
                <w:color w:val="000000"/>
                <w:sz w:val="24"/>
                <w:szCs w:val="24"/>
              </w:rPr>
              <w:t xml:space="preserve"> населения</w:t>
            </w:r>
            <w:r w:rsidR="006B59A2">
              <w:rPr>
                <w:color w:val="000000"/>
                <w:sz w:val="24"/>
                <w:szCs w:val="24"/>
              </w:rPr>
              <w:t>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="005C608D">
              <w:rPr>
                <w:sz w:val="24"/>
                <w:szCs w:val="24"/>
              </w:rPr>
              <w:t>осуществлять контроль</w:t>
            </w:r>
            <w:r w:rsidR="006B59A2" w:rsidRPr="006B59A2">
              <w:rPr>
                <w:sz w:val="24"/>
                <w:szCs w:val="24"/>
              </w:rPr>
              <w:t xml:space="preserve"> за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6B59A2"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5C608D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6B59A2" w:rsidRPr="006B59A2">
              <w:rPr>
                <w:color w:val="000000"/>
                <w:sz w:val="24"/>
                <w:szCs w:val="24"/>
              </w:rPr>
              <w:t>Основные противоэпидемические мероприятия, направленные на защиту населения в очагах особо опасных инфекций, при ухудшении радиационной обстановки и стихийных бедствиях;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ситуациях;</w:t>
            </w:r>
          </w:p>
          <w:p w:rsidR="006B59A2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населения, очистке территории, а также к захоронению умерших;</w:t>
            </w:r>
          </w:p>
          <w:p w:rsidR="006B59A2" w:rsidRPr="004D1539" w:rsidRDefault="006B59A2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 в чрезвычайных ситуациях;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8C500F" w:rsidRPr="004D1539" w:rsidRDefault="004D1539" w:rsidP="00846A86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Проводить санитарно-гигиенические и противоэпидемические мероприятия по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8C500F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8C500F" w:rsidRPr="00846A86">
              <w:rPr>
                <w:sz w:val="24"/>
                <w:szCs w:val="24"/>
              </w:rPr>
              <w:t>Навыками противоэпидемических и санитарно-гигиенических мероприятий в период чрезвычайных ситуаций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7999" w:rsidRPr="004D1539" w:rsidTr="00434DDF">
        <w:tc>
          <w:tcPr>
            <w:tcW w:w="0" w:type="auto"/>
            <w:vMerge w:val="restart"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5C608D">
              <w:rPr>
                <w:color w:val="000000"/>
                <w:sz w:val="24"/>
                <w:szCs w:val="24"/>
              </w:rPr>
              <w:t xml:space="preserve">7 </w:t>
            </w:r>
            <w:r w:rsidRPr="008C500F">
              <w:rPr>
                <w:color w:val="000000"/>
                <w:sz w:val="24"/>
                <w:szCs w:val="24"/>
              </w:rPr>
              <w:t xml:space="preserve">готовность к </w:t>
            </w:r>
            <w:r w:rsidR="005C608D">
              <w:rPr>
                <w:color w:val="000000"/>
                <w:sz w:val="24"/>
                <w:szCs w:val="24"/>
              </w:rPr>
              <w:t>оказанию</w:t>
            </w:r>
            <w:r w:rsidRPr="008C500F">
              <w:rPr>
                <w:color w:val="000000"/>
                <w:sz w:val="24"/>
                <w:szCs w:val="24"/>
              </w:rPr>
              <w:t xml:space="preserve">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0" w:type="auto"/>
          </w:tcPr>
          <w:p w:rsidR="004C799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Pr="006B59A2">
              <w:rPr>
                <w:color w:val="000000"/>
                <w:sz w:val="24"/>
                <w:szCs w:val="24"/>
              </w:rPr>
              <w:t>основы организации санитарно-гигиенического обеспечения в период чрезвычайных ситуаций, в том числе при эваку</w:t>
            </w:r>
            <w:r w:rsidR="00A8148C">
              <w:rPr>
                <w:color w:val="000000"/>
                <w:sz w:val="24"/>
                <w:szCs w:val="24"/>
              </w:rPr>
              <w:t>ации</w:t>
            </w:r>
            <w:r w:rsidRPr="006B59A2">
              <w:rPr>
                <w:color w:val="000000"/>
                <w:sz w:val="24"/>
                <w:szCs w:val="24"/>
              </w:rPr>
              <w:t xml:space="preserve"> населения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основные принципы эвакуации населения при чрезвычайной ситуации</w:t>
            </w:r>
          </w:p>
        </w:tc>
        <w:tc>
          <w:tcPr>
            <w:tcW w:w="3336" w:type="dxa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6B59A2">
              <w:rPr>
                <w:sz w:val="24"/>
                <w:szCs w:val="24"/>
              </w:rPr>
              <w:t>осуществлять контрол</w:t>
            </w:r>
            <w:r w:rsidR="005C608D">
              <w:rPr>
                <w:sz w:val="24"/>
                <w:szCs w:val="24"/>
              </w:rPr>
              <w:t>ь</w:t>
            </w:r>
            <w:r w:rsidRPr="006B59A2">
              <w:rPr>
                <w:sz w:val="24"/>
                <w:szCs w:val="24"/>
              </w:rPr>
              <w:t xml:space="preserve"> за санитарным состоянием мест размещения эвакуируемого населения, за соблюдением санитарно-гигиенических норм и правил на объектах питания и водоснабжения, за организацией банно-прачечного обслуживания населения в местах его расселения, за удалением пищевых отходов и их обеззараживанием</w:t>
            </w:r>
          </w:p>
        </w:tc>
        <w:tc>
          <w:tcPr>
            <w:tcW w:w="3336" w:type="dxa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C7999" w:rsidRPr="004D1539" w:rsidTr="00434DDF">
        <w:tc>
          <w:tcPr>
            <w:tcW w:w="0" w:type="auto"/>
            <w:vMerge/>
          </w:tcPr>
          <w:p w:rsidR="004C7999" w:rsidRPr="004D1539" w:rsidRDefault="004C799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7999" w:rsidRPr="004D1539" w:rsidRDefault="004C799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C7999" w:rsidRPr="004D1539" w:rsidRDefault="004C7999" w:rsidP="008C500F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Pr="006B59A2">
              <w:rPr>
                <w:color w:val="000000"/>
                <w:sz w:val="24"/>
                <w:szCs w:val="24"/>
              </w:rPr>
              <w:t>навыком проведение санитарно-гигиенической и санитарно-просветительной работы среди эвакуированного населения</w:t>
            </w:r>
          </w:p>
        </w:tc>
        <w:tc>
          <w:tcPr>
            <w:tcW w:w="3336" w:type="dxa"/>
          </w:tcPr>
          <w:p w:rsidR="004C7999" w:rsidRPr="004D1539" w:rsidRDefault="004C7999" w:rsidP="005C608D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6B59A2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строить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Владеть.</w:t>
            </w:r>
            <w:r w:rsidR="008C500F"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D1539" w:rsidRPr="006B59A2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D1539" w:rsidRDefault="004D1539" w:rsidP="0059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041A4E"/>
    <w:rsid w:val="0015433A"/>
    <w:rsid w:val="00224C10"/>
    <w:rsid w:val="002D2AC5"/>
    <w:rsid w:val="003C2B40"/>
    <w:rsid w:val="003C4F0B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5C608D"/>
    <w:rsid w:val="00614589"/>
    <w:rsid w:val="0066403B"/>
    <w:rsid w:val="006B59A2"/>
    <w:rsid w:val="007236AD"/>
    <w:rsid w:val="007806FA"/>
    <w:rsid w:val="00787B4B"/>
    <w:rsid w:val="007F5F32"/>
    <w:rsid w:val="00846A86"/>
    <w:rsid w:val="00864603"/>
    <w:rsid w:val="008A11CC"/>
    <w:rsid w:val="008C500F"/>
    <w:rsid w:val="00903DF9"/>
    <w:rsid w:val="009043F1"/>
    <w:rsid w:val="009A63F3"/>
    <w:rsid w:val="009D1B62"/>
    <w:rsid w:val="00A2525B"/>
    <w:rsid w:val="00A8148C"/>
    <w:rsid w:val="00A828D0"/>
    <w:rsid w:val="00B1652F"/>
    <w:rsid w:val="00B8270A"/>
    <w:rsid w:val="00C13BF7"/>
    <w:rsid w:val="00CA36DC"/>
    <w:rsid w:val="00D41488"/>
    <w:rsid w:val="00DD7D80"/>
    <w:rsid w:val="00DF72D5"/>
    <w:rsid w:val="00EB5CA8"/>
    <w:rsid w:val="00F0144D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0BC0-9DC0-46D3-931E-2A7DCCB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DELORGES\Downloads\&#1056;&#1072;&#1089;&#1082;&#1083;&#1072;&#1076;&#1082;&#1072;.xls" TargetMode="Externa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DELORGES\Downloads\&#1056;&#1072;&#1089;&#1082;&#1083;&#1072;&#1076;&#1082;&#1072;.xls" TargetMode="Externa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Relationship Id="rId8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13697</Words>
  <Characters>78073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Бархатова Людмила Алексеевна</cp:lastModifiedBy>
  <cp:revision>4</cp:revision>
  <dcterms:created xsi:type="dcterms:W3CDTF">2019-10-20T10:35:00Z</dcterms:created>
  <dcterms:modified xsi:type="dcterms:W3CDTF">2019-10-20T10:43:00Z</dcterms:modified>
</cp:coreProperties>
</file>