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D569F" w:rsidRPr="00DD569F" w:rsidRDefault="00DD569F" w:rsidP="00DD569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DD569F">
        <w:rPr>
          <w:rFonts w:ascii="Times New Roman" w:hAnsi="Times New Roman"/>
          <w:b/>
          <w:sz w:val="28"/>
          <w:szCs w:val="20"/>
          <w:u w:val="single"/>
        </w:rPr>
        <w:t>31.08.69 Челюстно-лицевая 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DD569F" w:rsidRPr="00DD569F">
        <w:rPr>
          <w:rFonts w:ascii="Times New Roman" w:hAnsi="Times New Roman"/>
          <w:color w:val="000000"/>
          <w:sz w:val="24"/>
          <w:szCs w:val="24"/>
        </w:rPr>
        <w:t>31.08.69 Челюстно-лицевая хирургия</w:t>
      </w:r>
      <w:bookmarkStart w:id="0" w:name="_GoBack"/>
      <w:bookmarkEnd w:id="0"/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проведения первичного скринига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проведения скринига,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9F">
          <w:rPr>
            <w:noProof/>
          </w:rPr>
          <w:t>4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DD569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Бархатова Людмила Алексеевна</cp:lastModifiedBy>
  <cp:revision>2</cp:revision>
  <cp:lastPrinted>2019-02-05T10:00:00Z</cp:lastPrinted>
  <dcterms:created xsi:type="dcterms:W3CDTF">2019-10-20T10:49:00Z</dcterms:created>
  <dcterms:modified xsi:type="dcterms:W3CDTF">2019-10-20T10:49:00Z</dcterms:modified>
</cp:coreProperties>
</file>