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61228E" w:rsidRDefault="004B2C94" w:rsidP="00612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61228E" w:rsidRPr="00CF7355">
        <w:rPr>
          <w:b/>
          <w:sz w:val="28"/>
          <w:szCs w:val="28"/>
        </w:rPr>
        <w:t>ПО ОРГАНИЗАЦИИ ИЗУЧЕНИЯ ДИСЦИПЛИНЫ</w:t>
      </w:r>
      <w:r w:rsidR="0061228E" w:rsidRPr="008B565C">
        <w:t xml:space="preserve"> </w:t>
      </w:r>
      <w:r w:rsidR="002A394A">
        <w:rPr>
          <w:b/>
          <w:sz w:val="28"/>
          <w:szCs w:val="28"/>
        </w:rPr>
        <w:t>ПО ВЫБОРУ «</w:t>
      </w:r>
      <w:r w:rsidR="0061228E" w:rsidRPr="008B565C">
        <w:rPr>
          <w:b/>
          <w:sz w:val="28"/>
          <w:szCs w:val="28"/>
        </w:rPr>
        <w:t>ФУНКЦИОНАЛЬНАЯ ДИАГНОСТИКА»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EA7441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EA7441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2A394A">
        <w:rPr>
          <w:color w:val="000000"/>
          <w:sz w:val="24"/>
          <w:szCs w:val="24"/>
        </w:rPr>
        <w:t>специальности 31.08.1</w:t>
      </w:r>
      <w:r w:rsidR="00EA7441">
        <w:rPr>
          <w:color w:val="000000"/>
          <w:sz w:val="24"/>
          <w:szCs w:val="24"/>
        </w:rPr>
        <w:t>3</w:t>
      </w:r>
      <w:r w:rsidR="002A394A">
        <w:rPr>
          <w:color w:val="000000"/>
          <w:sz w:val="24"/>
          <w:szCs w:val="24"/>
        </w:rPr>
        <w:t xml:space="preserve"> «</w:t>
      </w:r>
      <w:r w:rsidR="00EA7441">
        <w:rPr>
          <w:color w:val="000000"/>
          <w:sz w:val="24"/>
          <w:szCs w:val="24"/>
        </w:rPr>
        <w:t>Детская карди</w:t>
      </w:r>
      <w:r w:rsidR="002A394A">
        <w:rPr>
          <w:color w:val="000000"/>
          <w:sz w:val="24"/>
          <w:szCs w:val="24"/>
        </w:rPr>
        <w:t>олог</w:t>
      </w:r>
      <w:r w:rsidRPr="00A25EE3">
        <w:rPr>
          <w:color w:val="000000"/>
          <w:sz w:val="24"/>
          <w:szCs w:val="24"/>
        </w:rPr>
        <w:t>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2C742A" w:rsidRDefault="00EA7441" w:rsidP="002C742A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№ ____ от «____» _______</w:t>
      </w:r>
      <w:r w:rsidR="002C742A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_____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56"/>
        <w:gridCol w:w="3969"/>
        <w:gridCol w:w="1554"/>
        <w:gridCol w:w="1551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Основы электрокардиографии.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Pr="00A25EE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Нормативы величины зубцов и интервалов. Характеристика ЭКГ в различных отведениях. Методика оформления заключения по ЭКГ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Возрастные особенности ЭКГ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Гипертрофия и перегрузка предсердий. Гипертрофия и перегрузка желудочков.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D526D3" w:rsidRPr="00A25EE3" w:rsidTr="00A25EE3">
        <w:tc>
          <w:tcPr>
            <w:tcW w:w="0" w:type="auto"/>
            <w:shd w:val="clear" w:color="auto" w:fill="auto"/>
          </w:tcPr>
          <w:p w:rsidR="00D526D3" w:rsidRDefault="002A394A" w:rsidP="00D52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 w:rsidR="00023769"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ЭКГ при нарушениях ритма сердца.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D526D3" w:rsidRPr="00023769" w:rsidRDefault="00D526D3" w:rsidP="00D526D3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A394A" w:rsidRPr="00A25EE3" w:rsidTr="00A25EE3">
        <w:tc>
          <w:tcPr>
            <w:tcW w:w="0" w:type="auto"/>
            <w:shd w:val="clear" w:color="auto" w:fill="auto"/>
          </w:tcPr>
          <w:p w:rsidR="002A394A" w:rsidRDefault="002A394A" w:rsidP="002A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023769">
              <w:rPr>
                <w:sz w:val="28"/>
                <w:szCs w:val="28"/>
              </w:rPr>
              <w:t xml:space="preserve"> ЭКГ при нарушениях ритма сердца. 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документами; решение ситуационных задач 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устный опрос;</w:t>
            </w:r>
          </w:p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2A394A" w:rsidRPr="00023769" w:rsidRDefault="002A394A" w:rsidP="002A394A">
            <w:pPr>
              <w:jc w:val="center"/>
              <w:rPr>
                <w:sz w:val="28"/>
                <w:szCs w:val="28"/>
              </w:rPr>
            </w:pPr>
            <w:r w:rsidRPr="00023769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="001B6997">
        <w:rPr>
          <w:sz w:val="28"/>
        </w:rPr>
        <w:t xml:space="preserve"> </w:t>
      </w:r>
      <w:r w:rsidRPr="00B13647">
        <w:rPr>
          <w:sz w:val="28"/>
        </w:rPr>
        <w:t>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919D08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65A66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</w:t>
      </w:r>
      <w:r w:rsidRPr="006E062D">
        <w:rPr>
          <w:color w:val="000000"/>
          <w:sz w:val="28"/>
          <w:szCs w:val="28"/>
        </w:rPr>
        <w:lastRenderedPageBreak/>
        <w:t xml:space="preserve">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 xml:space="preserve">, который прикреплен к рабочей программе дисциплины, </w:t>
      </w:r>
      <w:r w:rsidRPr="00FB36A4">
        <w:rPr>
          <w:sz w:val="28"/>
        </w:rPr>
        <w:lastRenderedPageBreak/>
        <w:t>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45" w:rsidRDefault="00D01845" w:rsidP="00FD5B6B">
      <w:r>
        <w:separator/>
      </w:r>
    </w:p>
  </w:endnote>
  <w:endnote w:type="continuationSeparator" w:id="0">
    <w:p w:rsidR="00D01845" w:rsidRDefault="00D0184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A7441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45" w:rsidRDefault="00D01845" w:rsidP="00FD5B6B">
      <w:r>
        <w:separator/>
      </w:r>
    </w:p>
  </w:footnote>
  <w:footnote w:type="continuationSeparator" w:id="0">
    <w:p w:rsidR="00D01845" w:rsidRDefault="00D0184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761C5"/>
    <w:multiLevelType w:val="hybridMultilevel"/>
    <w:tmpl w:val="4A2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3769"/>
    <w:rsid w:val="00033367"/>
    <w:rsid w:val="0003403A"/>
    <w:rsid w:val="00034C33"/>
    <w:rsid w:val="00083C34"/>
    <w:rsid w:val="000931E3"/>
    <w:rsid w:val="000F2BF5"/>
    <w:rsid w:val="00177287"/>
    <w:rsid w:val="001B6997"/>
    <w:rsid w:val="001F5EE1"/>
    <w:rsid w:val="0026698D"/>
    <w:rsid w:val="002A394A"/>
    <w:rsid w:val="002C742A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D5BF0"/>
    <w:rsid w:val="0061228E"/>
    <w:rsid w:val="006847B8"/>
    <w:rsid w:val="00693E11"/>
    <w:rsid w:val="006F14A4"/>
    <w:rsid w:val="006F7AD8"/>
    <w:rsid w:val="00742208"/>
    <w:rsid w:val="00744483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9341B"/>
    <w:rsid w:val="00AD3EBB"/>
    <w:rsid w:val="00AF327C"/>
    <w:rsid w:val="00B13647"/>
    <w:rsid w:val="00B350F3"/>
    <w:rsid w:val="00BF1CD1"/>
    <w:rsid w:val="00C35B2E"/>
    <w:rsid w:val="00C83AB7"/>
    <w:rsid w:val="00D01845"/>
    <w:rsid w:val="00D06B87"/>
    <w:rsid w:val="00D33524"/>
    <w:rsid w:val="00D35869"/>
    <w:rsid w:val="00D471E6"/>
    <w:rsid w:val="00D526D3"/>
    <w:rsid w:val="00D61632"/>
    <w:rsid w:val="00E57C66"/>
    <w:rsid w:val="00EA7441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AAA891-E070-4ED0-A2DF-EEDF835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23">
    <w:name w:val="Font Style23"/>
    <w:uiPriority w:val="99"/>
    <w:rsid w:val="00D526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526D3"/>
    <w:pPr>
      <w:widowControl w:val="0"/>
      <w:autoSpaceDE w:val="0"/>
      <w:autoSpaceDN w:val="0"/>
      <w:adjustRightInd w:val="0"/>
      <w:spacing w:line="207" w:lineRule="exact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</cp:revision>
  <dcterms:created xsi:type="dcterms:W3CDTF">2019-12-10T08:22:00Z</dcterms:created>
  <dcterms:modified xsi:type="dcterms:W3CDTF">2019-12-10T08:23:00Z</dcterms:modified>
</cp:coreProperties>
</file>