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A61FEB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A61FEB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314700" w:rsidRPr="00C35800" w:rsidRDefault="00A61FEB" w:rsidP="00A61FEB">
      <w:pPr>
        <w:jc w:val="center"/>
        <w:rPr>
          <w:sz w:val="28"/>
          <w:u w:val="single"/>
        </w:rPr>
      </w:pPr>
      <w:r>
        <w:rPr>
          <w:sz w:val="28"/>
          <w:u w:val="single"/>
        </w:rPr>
        <w:t>Фармацевтическая</w:t>
      </w:r>
      <w:r w:rsidR="00314700" w:rsidRPr="00C35800">
        <w:rPr>
          <w:sz w:val="28"/>
          <w:u w:val="single"/>
        </w:rPr>
        <w:t xml:space="preserve"> химия</w:t>
      </w:r>
    </w:p>
    <w:p w:rsidR="00314700" w:rsidRPr="00C35800" w:rsidRDefault="00314700" w:rsidP="00A61FEB">
      <w:pPr>
        <w:jc w:val="center"/>
        <w:rPr>
          <w:sz w:val="28"/>
        </w:rPr>
      </w:pPr>
    </w:p>
    <w:p w:rsidR="00314700" w:rsidRPr="00C35800" w:rsidRDefault="00314700" w:rsidP="00A61FEB">
      <w:pPr>
        <w:jc w:val="center"/>
        <w:rPr>
          <w:sz w:val="28"/>
        </w:rPr>
      </w:pPr>
    </w:p>
    <w:p w:rsidR="00314700" w:rsidRPr="00C35800" w:rsidRDefault="00314700" w:rsidP="00A61FEB">
      <w:pPr>
        <w:jc w:val="center"/>
        <w:rPr>
          <w:caps/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>по специальности</w:t>
      </w:r>
    </w:p>
    <w:p w:rsidR="00314700" w:rsidRPr="00C35800" w:rsidRDefault="00314700" w:rsidP="00A61FEB">
      <w:pPr>
        <w:jc w:val="center"/>
        <w:rPr>
          <w:b/>
          <w:caps/>
          <w:color w:val="000000"/>
          <w:sz w:val="28"/>
          <w:szCs w:val="28"/>
        </w:rPr>
      </w:pPr>
    </w:p>
    <w:p w:rsidR="00314700" w:rsidRPr="00C35800" w:rsidRDefault="00314700" w:rsidP="00A61FEB">
      <w:pPr>
        <w:jc w:val="center"/>
        <w:rPr>
          <w:b/>
          <w:i/>
          <w:color w:val="000000"/>
          <w:sz w:val="28"/>
          <w:szCs w:val="28"/>
        </w:rPr>
      </w:pPr>
      <w:r w:rsidRPr="00C35800">
        <w:rPr>
          <w:i/>
          <w:color w:val="000000"/>
          <w:sz w:val="28"/>
          <w:szCs w:val="28"/>
        </w:rPr>
        <w:t>33.05.01 Фармация</w:t>
      </w:r>
    </w:p>
    <w:p w:rsidR="00314700" w:rsidRPr="00C35800" w:rsidRDefault="00314700" w:rsidP="00A61FEB">
      <w:pPr>
        <w:jc w:val="center"/>
        <w:rPr>
          <w:sz w:val="28"/>
        </w:rPr>
      </w:pPr>
    </w:p>
    <w:p w:rsidR="00314700" w:rsidRPr="00C35800" w:rsidRDefault="00314700" w:rsidP="00A61FEB">
      <w:pPr>
        <w:jc w:val="center"/>
        <w:rPr>
          <w:sz w:val="28"/>
        </w:rPr>
      </w:pPr>
    </w:p>
    <w:p w:rsidR="00314700" w:rsidRPr="00C35800" w:rsidRDefault="00314700" w:rsidP="00A61FEB">
      <w:pPr>
        <w:jc w:val="center"/>
        <w:rPr>
          <w:sz w:val="28"/>
        </w:rPr>
      </w:pPr>
    </w:p>
    <w:p w:rsidR="00314700" w:rsidRPr="00C35800" w:rsidRDefault="00314700" w:rsidP="00A61FEB">
      <w:pPr>
        <w:jc w:val="center"/>
        <w:rPr>
          <w:sz w:val="24"/>
          <w:szCs w:val="24"/>
        </w:rPr>
      </w:pPr>
    </w:p>
    <w:p w:rsidR="00314700" w:rsidRPr="00C35800" w:rsidRDefault="00314700" w:rsidP="00A61FEB">
      <w:pPr>
        <w:jc w:val="center"/>
        <w:rPr>
          <w:sz w:val="24"/>
          <w:szCs w:val="24"/>
        </w:rPr>
      </w:pPr>
    </w:p>
    <w:p w:rsidR="00314700" w:rsidRPr="00C35800" w:rsidRDefault="00314700" w:rsidP="00A61FEB">
      <w:pPr>
        <w:jc w:val="center"/>
        <w:rPr>
          <w:sz w:val="24"/>
          <w:szCs w:val="24"/>
        </w:rPr>
      </w:pPr>
    </w:p>
    <w:p w:rsidR="00314700" w:rsidRPr="00C35800" w:rsidRDefault="00314700" w:rsidP="00A61FEB">
      <w:pPr>
        <w:jc w:val="center"/>
        <w:rPr>
          <w:sz w:val="24"/>
          <w:szCs w:val="24"/>
        </w:rPr>
      </w:pPr>
    </w:p>
    <w:p w:rsidR="00314700" w:rsidRPr="00C35800" w:rsidRDefault="00314700" w:rsidP="00A61FEB">
      <w:pPr>
        <w:jc w:val="center"/>
        <w:rPr>
          <w:sz w:val="24"/>
          <w:szCs w:val="24"/>
        </w:rPr>
      </w:pPr>
    </w:p>
    <w:p w:rsidR="00314700" w:rsidRPr="00C35800" w:rsidRDefault="00314700" w:rsidP="00A61FEB">
      <w:pPr>
        <w:jc w:val="center"/>
        <w:rPr>
          <w:sz w:val="24"/>
          <w:szCs w:val="24"/>
        </w:rPr>
      </w:pPr>
    </w:p>
    <w:p w:rsidR="00314700" w:rsidRPr="00C35800" w:rsidRDefault="00314700" w:rsidP="00A61FEB">
      <w:pPr>
        <w:jc w:val="center"/>
        <w:rPr>
          <w:sz w:val="24"/>
          <w:szCs w:val="24"/>
        </w:rPr>
      </w:pPr>
    </w:p>
    <w:p w:rsidR="00314700" w:rsidRPr="00C35800" w:rsidRDefault="00314700" w:rsidP="00A61FEB">
      <w:pPr>
        <w:jc w:val="center"/>
        <w:rPr>
          <w:sz w:val="24"/>
          <w:szCs w:val="24"/>
        </w:rPr>
      </w:pPr>
    </w:p>
    <w:p w:rsidR="00314700" w:rsidRPr="00C35800" w:rsidRDefault="00314700" w:rsidP="00A61FEB">
      <w:pPr>
        <w:jc w:val="center"/>
        <w:rPr>
          <w:sz w:val="24"/>
          <w:szCs w:val="24"/>
        </w:rPr>
      </w:pPr>
    </w:p>
    <w:p w:rsidR="00314700" w:rsidRPr="00C35800" w:rsidRDefault="00314700" w:rsidP="00A61FEB">
      <w:pPr>
        <w:jc w:val="center"/>
        <w:rPr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C35800">
        <w:rPr>
          <w:i/>
          <w:color w:val="000000"/>
          <w:sz w:val="28"/>
          <w:szCs w:val="28"/>
        </w:rPr>
        <w:t>33.05.01 Фармация</w:t>
      </w:r>
      <w:r w:rsidRPr="00C35800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C35800">
        <w:rPr>
          <w:color w:val="000000"/>
          <w:sz w:val="28"/>
          <w:szCs w:val="28"/>
        </w:rPr>
        <w:t>ОрГМУ</w:t>
      </w:r>
      <w:proofErr w:type="spellEnd"/>
      <w:r w:rsidRPr="00C35800">
        <w:rPr>
          <w:color w:val="000000"/>
          <w:sz w:val="28"/>
          <w:szCs w:val="28"/>
        </w:rPr>
        <w:t xml:space="preserve"> Минздрава России</w:t>
      </w:r>
    </w:p>
    <w:p w:rsidR="00314700" w:rsidRPr="00C35800" w:rsidRDefault="00314700" w:rsidP="00A61FEB">
      <w:pPr>
        <w:jc w:val="center"/>
        <w:rPr>
          <w:color w:val="000000"/>
          <w:sz w:val="28"/>
          <w:szCs w:val="28"/>
        </w:rPr>
      </w:pPr>
    </w:p>
    <w:p w:rsidR="00314700" w:rsidRPr="00C35800" w:rsidRDefault="00314700" w:rsidP="00A61FEB">
      <w:pPr>
        <w:jc w:val="center"/>
        <w:rPr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 xml:space="preserve">протокол № </w:t>
      </w:r>
      <w:proofErr w:type="gramStart"/>
      <w:r w:rsidRPr="00C35800">
        <w:rPr>
          <w:color w:val="000000"/>
          <w:sz w:val="28"/>
          <w:szCs w:val="28"/>
        </w:rPr>
        <w:t>11  от</w:t>
      </w:r>
      <w:proofErr w:type="gramEnd"/>
      <w:r w:rsidRPr="00C35800">
        <w:rPr>
          <w:color w:val="000000"/>
          <w:sz w:val="28"/>
          <w:szCs w:val="28"/>
        </w:rPr>
        <w:t xml:space="preserve"> « 22 » июня 2018 года</w:t>
      </w:r>
    </w:p>
    <w:p w:rsidR="00314700" w:rsidRPr="00C35800" w:rsidRDefault="00314700" w:rsidP="00A61FEB">
      <w:pPr>
        <w:jc w:val="center"/>
        <w:rPr>
          <w:sz w:val="28"/>
          <w:szCs w:val="28"/>
        </w:rPr>
      </w:pPr>
    </w:p>
    <w:p w:rsidR="00314700" w:rsidRPr="00C35800" w:rsidRDefault="00314700" w:rsidP="00A61FEB">
      <w:pPr>
        <w:jc w:val="center"/>
        <w:rPr>
          <w:sz w:val="28"/>
          <w:szCs w:val="28"/>
        </w:rPr>
      </w:pPr>
    </w:p>
    <w:p w:rsidR="00314700" w:rsidRPr="00C35800" w:rsidRDefault="00314700" w:rsidP="00A61FEB">
      <w:pPr>
        <w:jc w:val="center"/>
        <w:rPr>
          <w:sz w:val="28"/>
          <w:szCs w:val="28"/>
        </w:rPr>
      </w:pPr>
    </w:p>
    <w:p w:rsidR="00314700" w:rsidRPr="00C35800" w:rsidRDefault="00314700" w:rsidP="00A61FEB">
      <w:pPr>
        <w:jc w:val="center"/>
        <w:rPr>
          <w:sz w:val="28"/>
          <w:szCs w:val="28"/>
        </w:rPr>
      </w:pPr>
    </w:p>
    <w:p w:rsidR="00314700" w:rsidRPr="00C35800" w:rsidRDefault="00314700" w:rsidP="00A61FEB">
      <w:pPr>
        <w:jc w:val="center"/>
        <w:rPr>
          <w:sz w:val="28"/>
          <w:szCs w:val="28"/>
        </w:rPr>
      </w:pPr>
      <w:r w:rsidRPr="00C35800">
        <w:rPr>
          <w:sz w:val="28"/>
          <w:szCs w:val="28"/>
        </w:rPr>
        <w:t>Оренбург</w:t>
      </w:r>
    </w:p>
    <w:p w:rsidR="004B2C94" w:rsidRPr="004B2C94" w:rsidRDefault="004B2C94" w:rsidP="00A61FEB">
      <w:pPr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5E3DBE">
        <w:rPr>
          <w:sz w:val="28"/>
        </w:rPr>
        <w:t>:</w:t>
      </w:r>
      <w:r>
        <w:rPr>
          <w:sz w:val="28"/>
        </w:rPr>
        <w:t xml:space="preserve"> </w:t>
      </w:r>
    </w:p>
    <w:p w:rsidR="005E3DBE" w:rsidRDefault="005E3DBE" w:rsidP="005E3DBE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выполнения самостоятельной работы по дисциплине «Биологическая химия» </w:t>
      </w:r>
      <w:r w:rsidRPr="005E3DBE">
        <w:rPr>
          <w:sz w:val="28"/>
        </w:rPr>
        <w:t>обучающийся должен</w:t>
      </w:r>
      <w:r>
        <w:rPr>
          <w:sz w:val="28"/>
        </w:rPr>
        <w:t>:</w:t>
      </w:r>
    </w:p>
    <w:p w:rsidR="005E3DBE" w:rsidRPr="005E3DBE" w:rsidRDefault="005E3DBE" w:rsidP="005E3DBE">
      <w:pPr>
        <w:pStyle w:val="aa"/>
        <w:numPr>
          <w:ilvl w:val="0"/>
          <w:numId w:val="13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Систематизировать знания по основным модулям дисциплины;</w:t>
      </w:r>
    </w:p>
    <w:p w:rsidR="005E3DBE" w:rsidRPr="005E3DBE" w:rsidRDefault="005E3DBE" w:rsidP="005E3DBE">
      <w:pPr>
        <w:pStyle w:val="aa"/>
        <w:numPr>
          <w:ilvl w:val="0"/>
          <w:numId w:val="13"/>
        </w:numPr>
        <w:ind w:left="0" w:firstLine="0"/>
        <w:contextualSpacing/>
        <w:jc w:val="both"/>
        <w:rPr>
          <w:sz w:val="28"/>
        </w:rPr>
      </w:pPr>
      <w:r w:rsidRPr="005E3DBE">
        <w:rPr>
          <w:sz w:val="28"/>
        </w:rPr>
        <w:t>сформировать понимания единства метаболических процессов в целом организме на основе системных знаний о химическом строении живых организмов и физико-химических процессах, обеспечивающих их жизнедеятельность, и углубленных представлений о взаимосвязях между регулирующими стимулами и механизмами регуляции процессов жизнедеятельности на молекулярном и клеточном</w:t>
      </w:r>
    </w:p>
    <w:p w:rsidR="005E3DBE" w:rsidRDefault="005E3DBE" w:rsidP="005E3DBE">
      <w:pPr>
        <w:jc w:val="both"/>
        <w:rPr>
          <w:sz w:val="28"/>
        </w:rPr>
      </w:pPr>
      <w:r>
        <w:rPr>
          <w:sz w:val="28"/>
        </w:rPr>
        <w:t>уровне;</w:t>
      </w:r>
    </w:p>
    <w:p w:rsidR="004B2C94" w:rsidRPr="005E3DBE" w:rsidRDefault="005E3DBE" w:rsidP="005E3DBE">
      <w:pPr>
        <w:pStyle w:val="aa"/>
        <w:numPr>
          <w:ilvl w:val="0"/>
          <w:numId w:val="13"/>
        </w:numPr>
        <w:ind w:left="0" w:firstLine="709"/>
        <w:contextualSpacing/>
        <w:jc w:val="both"/>
        <w:rPr>
          <w:sz w:val="28"/>
        </w:rPr>
      </w:pPr>
      <w:r w:rsidRPr="005E3DBE">
        <w:rPr>
          <w:sz w:val="28"/>
        </w:rPr>
        <w:t>сформировать умение освоение алгоритма поиска информации и алгоритма работы по заданному образцу, умение абстрагироваться от второстепенного материала, тренировать умение выделять существенные</w:t>
      </w:r>
      <w:r>
        <w:rPr>
          <w:sz w:val="28"/>
        </w:rPr>
        <w:t xml:space="preserve"> </w:t>
      </w:r>
      <w:r w:rsidRPr="005E3DBE">
        <w:rPr>
          <w:sz w:val="28"/>
        </w:rPr>
        <w:t>признаки.</w:t>
      </w:r>
    </w:p>
    <w:p w:rsidR="002A3C06" w:rsidRDefault="002A3C06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67"/>
        <w:gridCol w:w="1844"/>
        <w:gridCol w:w="1727"/>
        <w:gridCol w:w="1808"/>
        <w:gridCol w:w="13"/>
      </w:tblGrid>
      <w:tr w:rsidR="006F14A4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№</w:t>
            </w:r>
          </w:p>
        </w:tc>
        <w:tc>
          <w:tcPr>
            <w:tcW w:w="436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Тема самостоятельной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</w:t>
            </w:r>
          </w:p>
        </w:tc>
        <w:tc>
          <w:tcPr>
            <w:tcW w:w="1844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Форма </w:t>
            </w:r>
          </w:p>
          <w:p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t>самостоятельной работы</w:t>
            </w:r>
            <w:r w:rsidR="009978D9" w:rsidRPr="00787520">
              <w:rPr>
                <w:sz w:val="28"/>
                <w:vertAlign w:val="superscript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F55788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Форма контроля самостоятельной работы</w:t>
            </w:r>
          </w:p>
          <w:p w:rsidR="006F14A4" w:rsidRPr="00787520" w:rsidRDefault="00F55788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 </w:t>
            </w:r>
            <w:r w:rsidRPr="00787520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787520">
              <w:rPr>
                <w:sz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Форма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контактной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при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проведении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текущего </w:t>
            </w:r>
          </w:p>
          <w:p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t>контроля</w:t>
            </w:r>
            <w:r w:rsidR="009978D9" w:rsidRPr="00787520">
              <w:rPr>
                <w:sz w:val="28"/>
                <w:vertAlign w:val="superscript"/>
              </w:rPr>
              <w:t>2</w:t>
            </w:r>
          </w:p>
        </w:tc>
      </w:tr>
      <w:tr w:rsidR="006F14A4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</w:tr>
      <w:tr w:rsidR="009978D9" w:rsidRPr="00787520" w:rsidTr="003D078C">
        <w:tc>
          <w:tcPr>
            <w:tcW w:w="11030" w:type="dxa"/>
            <w:gridSpan w:val="6"/>
            <w:shd w:val="clear" w:color="auto" w:fill="auto"/>
          </w:tcPr>
          <w:p w:rsidR="009978D9" w:rsidRPr="00787520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>Самостоятел</w:t>
            </w:r>
            <w:r w:rsidR="00693E11" w:rsidRPr="00787520">
              <w:rPr>
                <w:i/>
                <w:sz w:val="28"/>
              </w:rPr>
              <w:t>ьная работа в рамках м</w:t>
            </w:r>
            <w:r w:rsidRPr="00787520">
              <w:rPr>
                <w:i/>
                <w:sz w:val="28"/>
              </w:rPr>
              <w:t xml:space="preserve">одуля </w:t>
            </w:r>
            <w:r w:rsidRPr="00787520">
              <w:rPr>
                <w:i/>
                <w:sz w:val="28"/>
                <w:vertAlign w:val="superscript"/>
              </w:rPr>
              <w:t>4</w:t>
            </w:r>
          </w:p>
        </w:tc>
      </w:tr>
      <w:tr w:rsidR="00165AEA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2A3C06" w:rsidRPr="002A3C06">
              <w:rPr>
                <w:sz w:val="28"/>
                <w:szCs w:val="28"/>
              </w:rPr>
              <w:t>Общая фармацевтическая химия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2A3C06" w:rsidRPr="002A3C06">
              <w:rPr>
                <w:sz w:val="28"/>
                <w:szCs w:val="28"/>
              </w:rPr>
              <w:t>Неорганические и металлоорганические лекарственные вещества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2A3C06" w:rsidRPr="002A3C06">
              <w:rPr>
                <w:sz w:val="28"/>
                <w:szCs w:val="28"/>
              </w:rPr>
              <w:t>Лекарственные средства органического происхождения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2A3C06" w:rsidRPr="002A3C06">
              <w:rPr>
                <w:sz w:val="28"/>
                <w:szCs w:val="28"/>
              </w:rPr>
              <w:t>Алифатические соединения (</w:t>
            </w:r>
            <w:proofErr w:type="spellStart"/>
            <w:r w:rsidR="002A3C06" w:rsidRPr="002A3C06">
              <w:rPr>
                <w:sz w:val="28"/>
                <w:szCs w:val="28"/>
              </w:rPr>
              <w:t>алканы</w:t>
            </w:r>
            <w:proofErr w:type="spellEnd"/>
            <w:r w:rsidR="002A3C06" w:rsidRPr="002A3C06">
              <w:rPr>
                <w:sz w:val="28"/>
                <w:szCs w:val="28"/>
              </w:rPr>
              <w:t>)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2A3C06" w:rsidRPr="002A3C06">
              <w:rPr>
                <w:sz w:val="28"/>
                <w:szCs w:val="28"/>
              </w:rPr>
              <w:t>Ароматические соединения (арены)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</w:pPr>
            <w:r w:rsidRPr="00787520">
              <w:rPr>
                <w:sz w:val="28"/>
              </w:rPr>
              <w:t>работа над учебным материалом (учебника, первоисточ</w:t>
            </w:r>
            <w:r w:rsidRPr="00787520">
              <w:rPr>
                <w:sz w:val="28"/>
              </w:rPr>
              <w:lastRenderedPageBreak/>
              <w:t>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6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2A3C06" w:rsidRPr="002A3C06">
              <w:rPr>
                <w:sz w:val="28"/>
                <w:szCs w:val="28"/>
              </w:rPr>
              <w:t>Ациклические соединения (</w:t>
            </w:r>
            <w:proofErr w:type="spellStart"/>
            <w:r w:rsidR="002A3C06" w:rsidRPr="002A3C06">
              <w:rPr>
                <w:sz w:val="28"/>
                <w:szCs w:val="28"/>
              </w:rPr>
              <w:t>циклоалканы</w:t>
            </w:r>
            <w:proofErr w:type="spellEnd"/>
            <w:r w:rsidR="002A3C06" w:rsidRPr="002A3C06">
              <w:rPr>
                <w:sz w:val="28"/>
                <w:szCs w:val="28"/>
              </w:rPr>
              <w:t>)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7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2A3C06" w:rsidRPr="002A3C06">
              <w:rPr>
                <w:sz w:val="28"/>
                <w:szCs w:val="28"/>
              </w:rPr>
              <w:t>Гетероциклические соединения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2A3C0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67" w:type="dxa"/>
            <w:shd w:val="clear" w:color="auto" w:fill="auto"/>
          </w:tcPr>
          <w:p w:rsidR="002A3C06" w:rsidRPr="00787520" w:rsidRDefault="002A3C06" w:rsidP="002A3C06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Pr="002A3C06">
              <w:rPr>
                <w:sz w:val="28"/>
                <w:szCs w:val="28"/>
              </w:rPr>
              <w:t>Обеспечение качества ЛС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A3C06" w:rsidRPr="00787520" w:rsidRDefault="002A3C06" w:rsidP="002A3C06">
            <w:pPr>
              <w:contextualSpacing/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2A3C06" w:rsidRPr="00787520" w:rsidRDefault="002A3C06" w:rsidP="002A3C06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2A3C06" w:rsidRPr="00787520" w:rsidRDefault="002A3C06" w:rsidP="002A3C06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2A3C06" w:rsidRPr="00787520" w:rsidTr="003D078C">
        <w:tc>
          <w:tcPr>
            <w:tcW w:w="11030" w:type="dxa"/>
            <w:gridSpan w:val="6"/>
            <w:shd w:val="clear" w:color="auto" w:fill="auto"/>
          </w:tcPr>
          <w:p w:rsidR="002A3C06" w:rsidRPr="00787520" w:rsidRDefault="002A3C06" w:rsidP="002A3C06">
            <w:pPr>
              <w:ind w:right="-293"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 xml:space="preserve">Самостоятельная работа в рамках </w:t>
            </w:r>
            <w:proofErr w:type="gramStart"/>
            <w:r>
              <w:rPr>
                <w:i/>
                <w:sz w:val="28"/>
              </w:rPr>
              <w:t xml:space="preserve">лабораторных </w:t>
            </w:r>
            <w:r w:rsidRPr="00787520">
              <w:rPr>
                <w:i/>
                <w:sz w:val="28"/>
              </w:rPr>
              <w:t xml:space="preserve"> занятий</w:t>
            </w:r>
            <w:proofErr w:type="gramEnd"/>
          </w:p>
          <w:p w:rsidR="002A3C06" w:rsidRPr="00787520" w:rsidRDefault="002A3C06" w:rsidP="002A3C0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2A3C06">
              <w:rPr>
                <w:sz w:val="28"/>
                <w:szCs w:val="28"/>
              </w:rPr>
              <w:t>Общая фармацевтическая химия</w:t>
            </w:r>
            <w:r w:rsidRPr="00787520">
              <w:rPr>
                <w:sz w:val="28"/>
              </w:rPr>
              <w:t>»</w:t>
            </w:r>
            <w:r w:rsidRPr="00787520">
              <w:rPr>
                <w:i/>
                <w:sz w:val="28"/>
              </w:rPr>
              <w:t xml:space="preserve"> </w:t>
            </w:r>
          </w:p>
        </w:tc>
      </w:tr>
      <w:tr w:rsidR="002A3C0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2A3C06">
              <w:rPr>
                <w:sz w:val="28"/>
                <w:szCs w:val="28"/>
              </w:rPr>
              <w:t>Работа с нормативной документацией, учебниками, практикумами, учебными пособиями кафедры, справочниками. Порядок оформления работ. Общие методы определения качества лекарственных средств неорганического происхождения: испытание на подлинность.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конспектирование текста;</w:t>
            </w:r>
            <w:r>
              <w:rPr>
                <w:sz w:val="28"/>
              </w:rPr>
              <w:t xml:space="preserve"> </w:t>
            </w:r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2A3C06" w:rsidRDefault="002A3C06" w:rsidP="002A3C0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2A3C0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2A3C06">
              <w:rPr>
                <w:sz w:val="28"/>
                <w:szCs w:val="28"/>
              </w:rPr>
              <w:t>Общие методы определения качества лекарственных средств. Определение внешнего вида (описание), растворимости, температуры плавления и плотности. Приготовление титрованных растворов, индикаторов и реактивов.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2A3C0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3</w:t>
            </w:r>
          </w:p>
        </w:tc>
        <w:tc>
          <w:tcPr>
            <w:tcW w:w="4367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2A3C06">
              <w:rPr>
                <w:sz w:val="28"/>
                <w:szCs w:val="28"/>
              </w:rPr>
              <w:t xml:space="preserve">Общие методы определения качества лекарственных средств. Испытания на прозрачность, степень мутности, окраску, примеси неорганических ионов. Эталонный и </w:t>
            </w:r>
            <w:proofErr w:type="spellStart"/>
            <w:r w:rsidRPr="002A3C06">
              <w:rPr>
                <w:sz w:val="28"/>
                <w:szCs w:val="28"/>
              </w:rPr>
              <w:t>безэталонный</w:t>
            </w:r>
            <w:proofErr w:type="spellEnd"/>
            <w:r w:rsidRPr="002A3C06">
              <w:rPr>
                <w:sz w:val="28"/>
                <w:szCs w:val="28"/>
              </w:rPr>
              <w:t xml:space="preserve"> способы.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2A3C06" w:rsidRPr="00787520" w:rsidTr="003D078C">
        <w:tc>
          <w:tcPr>
            <w:tcW w:w="11030" w:type="dxa"/>
            <w:gridSpan w:val="6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 xml:space="preserve">Самостоятельная работа в </w:t>
            </w:r>
            <w:proofErr w:type="gramStart"/>
            <w:r w:rsidRPr="00787520">
              <w:rPr>
                <w:i/>
                <w:sz w:val="28"/>
              </w:rPr>
              <w:t xml:space="preserve">рамках </w:t>
            </w:r>
            <w:r>
              <w:rPr>
                <w:i/>
                <w:sz w:val="28"/>
              </w:rPr>
              <w:t xml:space="preserve"> лабораторных</w:t>
            </w:r>
            <w:proofErr w:type="gramEnd"/>
            <w:r w:rsidRPr="00787520">
              <w:rPr>
                <w:i/>
                <w:sz w:val="28"/>
              </w:rPr>
              <w:t xml:space="preserve"> занятий</w:t>
            </w:r>
          </w:p>
          <w:p w:rsidR="002A3C06" w:rsidRPr="00787520" w:rsidRDefault="002A3C06" w:rsidP="002A3C06">
            <w:pPr>
              <w:contextualSpacing/>
              <w:jc w:val="center"/>
              <w:rPr>
                <w:i/>
                <w:iCs/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2A3C06">
              <w:rPr>
                <w:sz w:val="28"/>
                <w:szCs w:val="28"/>
              </w:rPr>
              <w:t>Неорганические и металлоорганические лекарственные вещества</w:t>
            </w:r>
            <w:r w:rsidRPr="00787520">
              <w:rPr>
                <w:sz w:val="28"/>
              </w:rPr>
              <w:t>»</w:t>
            </w:r>
          </w:p>
        </w:tc>
      </w:tr>
      <w:tr w:rsidR="002A3C0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6</w:t>
            </w:r>
          </w:p>
        </w:tc>
        <w:tc>
          <w:tcPr>
            <w:tcW w:w="4367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061A9B" w:rsidRPr="00061A9B">
              <w:rPr>
                <w:sz w:val="28"/>
                <w:szCs w:val="28"/>
              </w:rPr>
              <w:t>Определение качества воды очищенной, воды для инъекций, кислорода, перекисных соединений.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2A3C0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7</w:t>
            </w:r>
          </w:p>
        </w:tc>
        <w:tc>
          <w:tcPr>
            <w:tcW w:w="4367" w:type="dxa"/>
            <w:shd w:val="clear" w:color="auto" w:fill="auto"/>
          </w:tcPr>
          <w:p w:rsidR="002A3C06" w:rsidRPr="00787520" w:rsidRDefault="002A3C06" w:rsidP="002A3C06">
            <w:pPr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061A9B" w:rsidRPr="00061A9B">
              <w:rPr>
                <w:sz w:val="28"/>
                <w:szCs w:val="28"/>
              </w:rPr>
              <w:t>Определение качества натрия тиосульфата, натрия нитрита, натрия гидрокарбоната, лития карбоната.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2A3C0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8</w:t>
            </w:r>
          </w:p>
        </w:tc>
        <w:tc>
          <w:tcPr>
            <w:tcW w:w="4367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061A9B" w:rsidRPr="00061A9B">
              <w:rPr>
                <w:sz w:val="28"/>
                <w:szCs w:val="28"/>
              </w:rPr>
              <w:t xml:space="preserve">Определение качества лекарственных средств из группы производных галогенов: йод и спиртовой раствор йода, кислота </w:t>
            </w:r>
            <w:proofErr w:type="spellStart"/>
            <w:r w:rsidR="00061A9B" w:rsidRPr="00061A9B">
              <w:rPr>
                <w:sz w:val="28"/>
                <w:szCs w:val="28"/>
              </w:rPr>
              <w:t>хлороводородная</w:t>
            </w:r>
            <w:proofErr w:type="spellEnd"/>
            <w:r w:rsidR="00061A9B" w:rsidRPr="00061A9B">
              <w:rPr>
                <w:sz w:val="28"/>
                <w:szCs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2A3C0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9</w:t>
            </w:r>
          </w:p>
        </w:tc>
        <w:tc>
          <w:tcPr>
            <w:tcW w:w="4367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061A9B" w:rsidRPr="00061A9B">
              <w:rPr>
                <w:sz w:val="28"/>
                <w:szCs w:val="28"/>
              </w:rPr>
              <w:t>Определение качества лекарственных средств из группы производных галогенов: соединения хлоридов, бромидов, йодидов.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2A3C0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10</w:t>
            </w:r>
          </w:p>
        </w:tc>
        <w:tc>
          <w:tcPr>
            <w:tcW w:w="4367" w:type="dxa"/>
            <w:shd w:val="clear" w:color="auto" w:fill="auto"/>
          </w:tcPr>
          <w:p w:rsidR="002A3C06" w:rsidRPr="00787520" w:rsidRDefault="002A3C06" w:rsidP="002A3C0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061A9B" w:rsidRPr="00061A9B">
              <w:rPr>
                <w:sz w:val="28"/>
                <w:szCs w:val="28"/>
              </w:rPr>
              <w:t>Определение качества лекарственных средств из группы соединений кальция, магния, бария, цинка.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2A3C06" w:rsidRPr="00787520" w:rsidRDefault="002A3C06" w:rsidP="002A3C0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2A3C06" w:rsidRPr="00787520" w:rsidRDefault="002A3C06" w:rsidP="002A3C0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061A9B">
              <w:rPr>
                <w:sz w:val="28"/>
                <w:szCs w:val="28"/>
              </w:rPr>
              <w:t>Определение качества лекарственных средств из группы соединений бора, серебра, висмута, алюминия, платины</w:t>
            </w:r>
            <w:r w:rsidRPr="00061A9B">
              <w:rPr>
                <w:sz w:val="28"/>
                <w:szCs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061A9B" w:rsidRPr="00787520" w:rsidTr="003D078C">
        <w:tc>
          <w:tcPr>
            <w:tcW w:w="11030" w:type="dxa"/>
            <w:gridSpan w:val="6"/>
            <w:shd w:val="clear" w:color="auto" w:fill="auto"/>
          </w:tcPr>
          <w:p w:rsidR="00061A9B" w:rsidRPr="00787520" w:rsidRDefault="00061A9B" w:rsidP="00061A9B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061A9B" w:rsidRPr="00787520" w:rsidRDefault="00061A9B" w:rsidP="00061A9B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061A9B">
              <w:rPr>
                <w:sz w:val="28"/>
                <w:szCs w:val="28"/>
              </w:rPr>
              <w:t>Лекарственные средства органического происхождения</w:t>
            </w:r>
            <w:r w:rsidRPr="00787520">
              <w:rPr>
                <w:sz w:val="28"/>
              </w:rPr>
              <w:t>»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jc w:val="both"/>
              <w:rPr>
                <w:color w:val="000000"/>
                <w:sz w:val="28"/>
                <w:szCs w:val="28"/>
              </w:rPr>
            </w:pPr>
            <w:r w:rsidRPr="00787520">
              <w:rPr>
                <w:sz w:val="28"/>
              </w:rPr>
              <w:t>Тема «</w:t>
            </w:r>
            <w:r w:rsidRPr="00061A9B">
              <w:rPr>
                <w:sz w:val="28"/>
                <w:szCs w:val="28"/>
              </w:rPr>
              <w:t>Общие методы определение качества кислородсодержащих лекарственных средств органического происхождения.</w:t>
            </w:r>
          </w:p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061A9B">
              <w:rPr>
                <w:sz w:val="28"/>
                <w:szCs w:val="28"/>
              </w:rPr>
              <w:t xml:space="preserve">Общие методы определения качества азот- и </w:t>
            </w:r>
            <w:proofErr w:type="spellStart"/>
            <w:r w:rsidRPr="00061A9B">
              <w:rPr>
                <w:sz w:val="28"/>
                <w:szCs w:val="28"/>
              </w:rPr>
              <w:t>серусодержащих</w:t>
            </w:r>
            <w:proofErr w:type="spellEnd"/>
            <w:r w:rsidRPr="00061A9B">
              <w:rPr>
                <w:sz w:val="28"/>
                <w:szCs w:val="28"/>
              </w:rPr>
              <w:t xml:space="preserve"> лекарственных средств органического происхождения.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061A9B" w:rsidRPr="00787520" w:rsidTr="003D078C">
        <w:tc>
          <w:tcPr>
            <w:tcW w:w="11030" w:type="dxa"/>
            <w:gridSpan w:val="6"/>
            <w:shd w:val="clear" w:color="auto" w:fill="auto"/>
          </w:tcPr>
          <w:p w:rsidR="00061A9B" w:rsidRPr="00787520" w:rsidRDefault="00061A9B" w:rsidP="00061A9B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061A9B">
              <w:rPr>
                <w:sz w:val="28"/>
                <w:szCs w:val="28"/>
              </w:rPr>
              <w:t>Алифатические соединения (</w:t>
            </w:r>
            <w:proofErr w:type="spellStart"/>
            <w:r w:rsidRPr="00061A9B">
              <w:rPr>
                <w:sz w:val="28"/>
                <w:szCs w:val="28"/>
              </w:rPr>
              <w:t>алканы</w:t>
            </w:r>
            <w:proofErr w:type="spellEnd"/>
            <w:r w:rsidRPr="00061A9B">
              <w:rPr>
                <w:sz w:val="28"/>
                <w:szCs w:val="28"/>
              </w:rPr>
              <w:t>)</w:t>
            </w:r>
            <w:r w:rsidRPr="00787520">
              <w:rPr>
                <w:sz w:val="28"/>
              </w:rPr>
              <w:t>»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Default="00061A9B" w:rsidP="00061A9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061A9B">
              <w:rPr>
                <w:sz w:val="28"/>
                <w:szCs w:val="28"/>
              </w:rPr>
              <w:t xml:space="preserve">Определение качества лекарственных средств из группы галогенпроизводных ациклических </w:t>
            </w:r>
            <w:proofErr w:type="spellStart"/>
            <w:r w:rsidRPr="00061A9B">
              <w:rPr>
                <w:sz w:val="28"/>
                <w:szCs w:val="28"/>
              </w:rPr>
              <w:t>алканов</w:t>
            </w:r>
            <w:proofErr w:type="spellEnd"/>
            <w:r w:rsidRPr="00061A9B">
              <w:rPr>
                <w:sz w:val="28"/>
                <w:szCs w:val="28"/>
              </w:rPr>
              <w:t>, спирты, эфиры.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Default="00061A9B" w:rsidP="00061A9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061A9B">
              <w:rPr>
                <w:sz w:val="28"/>
                <w:szCs w:val="28"/>
              </w:rPr>
              <w:t xml:space="preserve">Определение качества лекарственных средств из группы карбоновых кислот и производных ненасыщенных </w:t>
            </w:r>
            <w:proofErr w:type="spellStart"/>
            <w:r w:rsidRPr="00061A9B">
              <w:rPr>
                <w:sz w:val="28"/>
                <w:szCs w:val="28"/>
              </w:rPr>
              <w:t>полиокси</w:t>
            </w:r>
            <w:proofErr w:type="spellEnd"/>
            <w:r w:rsidRPr="00061A9B">
              <w:rPr>
                <w:sz w:val="28"/>
                <w:szCs w:val="28"/>
              </w:rPr>
              <w:t>-гамма-лактонов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3D078C" w:rsidRPr="00787520" w:rsidTr="003D078C">
        <w:tc>
          <w:tcPr>
            <w:tcW w:w="11030" w:type="dxa"/>
            <w:gridSpan w:val="6"/>
            <w:shd w:val="clear" w:color="auto" w:fill="auto"/>
          </w:tcPr>
          <w:p w:rsidR="003D078C" w:rsidRPr="00787520" w:rsidRDefault="003D078C" w:rsidP="003D078C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3D078C" w:rsidRPr="00787520" w:rsidRDefault="003D078C" w:rsidP="003D078C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sz w:val="28"/>
              </w:rPr>
              <w:t>модуля</w:t>
            </w:r>
            <w:r w:rsidRPr="003D078C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3D078C">
              <w:rPr>
                <w:sz w:val="28"/>
              </w:rPr>
              <w:t>Ароматические соединения (арены)</w:t>
            </w:r>
            <w:r>
              <w:rPr>
                <w:sz w:val="28"/>
              </w:rPr>
              <w:t>»</w:t>
            </w:r>
          </w:p>
        </w:tc>
      </w:tr>
      <w:tr w:rsidR="003D078C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  <w:vAlign w:val="center"/>
          </w:tcPr>
          <w:p w:rsidR="003D078C" w:rsidRDefault="003D078C" w:rsidP="003D078C">
            <w:r>
              <w:t>16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3D078C" w:rsidRDefault="003D078C" w:rsidP="003D078C">
            <w:r w:rsidRPr="00787520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>
              <w:t>Анализ лекарственных средств из группы производных нафтохинонов и тетрациклинов»</w:t>
            </w:r>
          </w:p>
        </w:tc>
        <w:tc>
          <w:tcPr>
            <w:tcW w:w="1844" w:type="dxa"/>
            <w:shd w:val="clear" w:color="auto" w:fill="auto"/>
          </w:tcPr>
          <w:p w:rsidR="003D078C" w:rsidRPr="00787520" w:rsidRDefault="003D078C" w:rsidP="003D078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3D078C" w:rsidRPr="00787520" w:rsidRDefault="003D078C" w:rsidP="003D078C">
            <w:pPr>
              <w:rPr>
                <w:sz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3D078C" w:rsidRPr="00787520" w:rsidRDefault="003D078C" w:rsidP="003D078C">
            <w:pPr>
              <w:contextualSpacing/>
              <w:jc w:val="both"/>
              <w:rPr>
                <w:sz w:val="28"/>
              </w:rPr>
            </w:pPr>
          </w:p>
        </w:tc>
      </w:tr>
      <w:tr w:rsidR="003D078C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  <w:vAlign w:val="center"/>
          </w:tcPr>
          <w:p w:rsidR="003D078C" w:rsidRDefault="003D078C" w:rsidP="003D078C">
            <w:r>
              <w:t>17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3D078C" w:rsidRDefault="003D078C" w:rsidP="003D078C">
            <w:r>
              <w:t>Тема «Анализ лекарственных средств, производных салициловой кислоты»</w:t>
            </w:r>
          </w:p>
        </w:tc>
        <w:tc>
          <w:tcPr>
            <w:tcW w:w="1844" w:type="dxa"/>
            <w:shd w:val="clear" w:color="auto" w:fill="auto"/>
          </w:tcPr>
          <w:p w:rsidR="003D078C" w:rsidRPr="00787520" w:rsidRDefault="003D078C" w:rsidP="003D078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3D078C" w:rsidRPr="00787520" w:rsidRDefault="003D078C" w:rsidP="003D078C">
            <w:pPr>
              <w:rPr>
                <w:sz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3D078C" w:rsidRPr="00787520" w:rsidRDefault="003D078C" w:rsidP="003D078C">
            <w:pPr>
              <w:contextualSpacing/>
              <w:jc w:val="both"/>
              <w:rPr>
                <w:sz w:val="28"/>
              </w:rPr>
            </w:pPr>
          </w:p>
        </w:tc>
      </w:tr>
      <w:tr w:rsidR="00061A9B" w:rsidRPr="00787520" w:rsidTr="003D078C">
        <w:tc>
          <w:tcPr>
            <w:tcW w:w="11030" w:type="dxa"/>
            <w:gridSpan w:val="6"/>
            <w:shd w:val="clear" w:color="auto" w:fill="auto"/>
          </w:tcPr>
          <w:p w:rsidR="00061A9B" w:rsidRPr="00787520" w:rsidRDefault="00061A9B" w:rsidP="00061A9B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061A9B">
              <w:rPr>
                <w:sz w:val="28"/>
                <w:szCs w:val="28"/>
              </w:rPr>
              <w:t>Ациклические соединения (</w:t>
            </w:r>
            <w:proofErr w:type="spellStart"/>
            <w:r w:rsidRPr="00061A9B">
              <w:rPr>
                <w:sz w:val="28"/>
                <w:szCs w:val="28"/>
              </w:rPr>
              <w:t>циклоалканы</w:t>
            </w:r>
            <w:proofErr w:type="spellEnd"/>
            <w:r w:rsidRPr="00061A9B">
              <w:rPr>
                <w:sz w:val="28"/>
                <w:szCs w:val="28"/>
              </w:rPr>
              <w:t>)</w:t>
            </w:r>
            <w:r w:rsidRPr="00787520">
              <w:rPr>
                <w:sz w:val="28"/>
              </w:rPr>
              <w:t>»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3D078C" w:rsidRDefault="00061A9B" w:rsidP="003D078C">
            <w:pPr>
              <w:pStyle w:val="aa"/>
              <w:numPr>
                <w:ilvl w:val="0"/>
                <w:numId w:val="16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061A9B">
              <w:rPr>
                <w:sz w:val="28"/>
              </w:rPr>
              <w:t>Анализ лекарственных средств из группы терпенов.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3D078C" w:rsidRDefault="00061A9B" w:rsidP="003D078C">
            <w:pPr>
              <w:pStyle w:val="aa"/>
              <w:numPr>
                <w:ilvl w:val="0"/>
                <w:numId w:val="16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061A9B">
              <w:rPr>
                <w:sz w:val="28"/>
              </w:rPr>
              <w:t xml:space="preserve">Анализ лекарственных средств из группы </w:t>
            </w:r>
            <w:proofErr w:type="spellStart"/>
            <w:r w:rsidRPr="00061A9B">
              <w:rPr>
                <w:sz w:val="28"/>
              </w:rPr>
              <w:t>статинов</w:t>
            </w:r>
            <w:proofErr w:type="spellEnd"/>
            <w:r w:rsidRPr="00061A9B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3D078C" w:rsidRDefault="00061A9B" w:rsidP="003D078C">
            <w:pPr>
              <w:pStyle w:val="aa"/>
              <w:numPr>
                <w:ilvl w:val="0"/>
                <w:numId w:val="16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061A9B">
              <w:rPr>
                <w:sz w:val="28"/>
              </w:rPr>
              <w:t>Анализ лекарственных средств из группы кальциферолов.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3D078C" w:rsidRDefault="00061A9B" w:rsidP="003D078C">
            <w:pPr>
              <w:pStyle w:val="aa"/>
              <w:numPr>
                <w:ilvl w:val="0"/>
                <w:numId w:val="16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061A9B">
              <w:rPr>
                <w:sz w:val="28"/>
              </w:rPr>
              <w:t>Анализ сердечных гликозидов.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061A9B" w:rsidRPr="00787520" w:rsidTr="003D078C">
        <w:tc>
          <w:tcPr>
            <w:tcW w:w="11030" w:type="dxa"/>
            <w:gridSpan w:val="6"/>
            <w:shd w:val="clear" w:color="auto" w:fill="auto"/>
          </w:tcPr>
          <w:p w:rsidR="00061A9B" w:rsidRPr="00787520" w:rsidRDefault="00061A9B" w:rsidP="00061A9B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Pr="00061A9B">
              <w:rPr>
                <w:sz w:val="28"/>
                <w:szCs w:val="28"/>
              </w:rPr>
              <w:t>Гетероциклические соединения</w:t>
            </w:r>
            <w:r w:rsidRPr="00787520">
              <w:rPr>
                <w:sz w:val="28"/>
              </w:rPr>
              <w:t>»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8C4126">
              <w:rPr>
                <w:sz w:val="28"/>
              </w:rPr>
              <w:t xml:space="preserve">Анализ лекарственных средств из группы кортикостероидов и </w:t>
            </w:r>
            <w:proofErr w:type="spellStart"/>
            <w:r w:rsidRPr="008C4126">
              <w:rPr>
                <w:sz w:val="28"/>
              </w:rPr>
              <w:t>гестагенных</w:t>
            </w:r>
            <w:proofErr w:type="spellEnd"/>
            <w:r w:rsidRPr="008C4126">
              <w:rPr>
                <w:sz w:val="28"/>
              </w:rPr>
              <w:t xml:space="preserve"> гормонов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8C4126">
              <w:rPr>
                <w:sz w:val="28"/>
              </w:rPr>
              <w:t xml:space="preserve">Анализ лекарственных средств из группы андрогенов и анаболиков, </w:t>
            </w:r>
            <w:proofErr w:type="spellStart"/>
            <w:r w:rsidRPr="008C4126">
              <w:rPr>
                <w:sz w:val="28"/>
              </w:rPr>
              <w:t>антиандрогенов</w:t>
            </w:r>
            <w:proofErr w:type="spellEnd"/>
            <w:r w:rsidRPr="008C4126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8C4126">
              <w:rPr>
                <w:sz w:val="28"/>
              </w:rPr>
              <w:t>Анализ лекарственных средств, производных фурана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8C4126">
              <w:rPr>
                <w:sz w:val="28"/>
              </w:rPr>
              <w:t xml:space="preserve">Анализ лекарственных средств, производных </w:t>
            </w:r>
            <w:proofErr w:type="spellStart"/>
            <w:r w:rsidRPr="008C4126">
              <w:rPr>
                <w:sz w:val="28"/>
              </w:rPr>
              <w:t>бензопирана</w:t>
            </w:r>
            <w:proofErr w:type="spellEnd"/>
            <w:r w:rsidRPr="008C4126">
              <w:rPr>
                <w:sz w:val="28"/>
              </w:rPr>
              <w:t xml:space="preserve"> и </w:t>
            </w:r>
            <w:proofErr w:type="spellStart"/>
            <w:r w:rsidRPr="008C4126">
              <w:rPr>
                <w:sz w:val="28"/>
              </w:rPr>
              <w:t>индана</w:t>
            </w:r>
            <w:proofErr w:type="spellEnd"/>
            <w:r w:rsidRPr="008C4126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8C4126">
              <w:rPr>
                <w:sz w:val="28"/>
              </w:rPr>
              <w:t xml:space="preserve">Анализ лекарственных средств, производных </w:t>
            </w:r>
            <w:proofErr w:type="spellStart"/>
            <w:r w:rsidRPr="008C4126">
              <w:rPr>
                <w:sz w:val="28"/>
              </w:rPr>
              <w:t>бензо</w:t>
            </w:r>
            <w:proofErr w:type="spellEnd"/>
            <w:r w:rsidRPr="008C4126">
              <w:rPr>
                <w:sz w:val="28"/>
              </w:rPr>
              <w:t>-γ-</w:t>
            </w:r>
            <w:proofErr w:type="spellStart"/>
            <w:r w:rsidRPr="008C4126">
              <w:rPr>
                <w:sz w:val="28"/>
              </w:rPr>
              <w:t>пирана</w:t>
            </w:r>
            <w:proofErr w:type="spellEnd"/>
            <w:r w:rsidRPr="008C4126">
              <w:rPr>
                <w:sz w:val="28"/>
              </w:rPr>
              <w:t xml:space="preserve"> и тиофена.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8C4126">
              <w:rPr>
                <w:sz w:val="28"/>
              </w:rPr>
              <w:t>Анализ лекарственных средств, производных пиррола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>Анализ лекарственных средств, производных индола.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пиразола, </w:t>
            </w:r>
            <w:proofErr w:type="spellStart"/>
            <w:r w:rsidR="003D078C" w:rsidRPr="003D078C">
              <w:rPr>
                <w:sz w:val="28"/>
              </w:rPr>
              <w:t>тиазола</w:t>
            </w:r>
            <w:proofErr w:type="spellEnd"/>
            <w:r w:rsidR="003D078C" w:rsidRPr="003D078C">
              <w:rPr>
                <w:sz w:val="28"/>
              </w:rPr>
              <w:t xml:space="preserve"> и 1,2,4-триазола.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>Анализ противогистаминных лекарственных средств.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>Анализ лекарственных средств, производных пиридин-3-карбоновой кислоты.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3D078C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>Анализ лекарственных средств, производных пиридин-</w:t>
            </w:r>
            <w:r w:rsidR="003D078C">
              <w:rPr>
                <w:sz w:val="28"/>
              </w:rPr>
              <w:t>4</w:t>
            </w:r>
            <w:r w:rsidR="003D078C" w:rsidRPr="003D078C">
              <w:rPr>
                <w:sz w:val="28"/>
              </w:rPr>
              <w:t>-карбоновой кислоты.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</w:t>
            </w:r>
            <w:proofErr w:type="spellStart"/>
            <w:r w:rsidR="003D078C" w:rsidRPr="003D078C">
              <w:rPr>
                <w:sz w:val="28"/>
              </w:rPr>
              <w:t>тропана</w:t>
            </w:r>
            <w:proofErr w:type="spellEnd"/>
            <w:r w:rsidR="003D078C" w:rsidRPr="003D078C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>Анализ лекарственных средств, производных хинолина.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хинолина и </w:t>
            </w:r>
            <w:proofErr w:type="spellStart"/>
            <w:r w:rsidR="003D078C" w:rsidRPr="003D078C">
              <w:rPr>
                <w:sz w:val="28"/>
              </w:rPr>
              <w:t>фторхинолона</w:t>
            </w:r>
            <w:proofErr w:type="spellEnd"/>
            <w:r w:rsidR="003D078C" w:rsidRPr="003D078C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</w:t>
            </w:r>
            <w:proofErr w:type="spellStart"/>
            <w:r w:rsidR="003D078C" w:rsidRPr="003D078C">
              <w:rPr>
                <w:sz w:val="28"/>
              </w:rPr>
              <w:t>изохинолина</w:t>
            </w:r>
            <w:proofErr w:type="spellEnd"/>
            <w:r w:rsidR="003D078C" w:rsidRPr="003D078C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</w:t>
            </w:r>
            <w:proofErr w:type="spellStart"/>
            <w:r w:rsidR="003D078C" w:rsidRPr="003D078C">
              <w:rPr>
                <w:sz w:val="28"/>
              </w:rPr>
              <w:t>изохинолина</w:t>
            </w:r>
            <w:proofErr w:type="spellEnd"/>
            <w:r w:rsidR="003D078C" w:rsidRPr="003D078C">
              <w:rPr>
                <w:sz w:val="28"/>
              </w:rPr>
              <w:t xml:space="preserve"> и </w:t>
            </w:r>
            <w:proofErr w:type="spellStart"/>
            <w:r w:rsidR="003D078C" w:rsidRPr="003D078C">
              <w:rPr>
                <w:sz w:val="28"/>
              </w:rPr>
              <w:t>хиназолина</w:t>
            </w:r>
            <w:proofErr w:type="spellEnd"/>
            <w:r w:rsidR="003D078C" w:rsidRPr="003D078C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пиримидина и </w:t>
            </w:r>
            <w:proofErr w:type="spellStart"/>
            <w:r w:rsidR="003D078C" w:rsidRPr="003D078C">
              <w:rPr>
                <w:sz w:val="28"/>
              </w:rPr>
              <w:t>гидантоина</w:t>
            </w:r>
            <w:proofErr w:type="spellEnd"/>
            <w:r w:rsidR="003D078C" w:rsidRPr="003D078C">
              <w:rPr>
                <w:sz w:val="28"/>
              </w:rPr>
              <w:t xml:space="preserve"> (</w:t>
            </w:r>
            <w:proofErr w:type="spellStart"/>
            <w:r w:rsidR="003D078C" w:rsidRPr="003D078C">
              <w:rPr>
                <w:sz w:val="28"/>
              </w:rPr>
              <w:t>урацила</w:t>
            </w:r>
            <w:proofErr w:type="spellEnd"/>
            <w:r w:rsidR="003D078C" w:rsidRPr="003D078C">
              <w:rPr>
                <w:sz w:val="28"/>
              </w:rPr>
              <w:t>).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</w:t>
            </w:r>
            <w:proofErr w:type="spellStart"/>
            <w:r w:rsidR="003D078C" w:rsidRPr="003D078C">
              <w:rPr>
                <w:sz w:val="28"/>
              </w:rPr>
              <w:t>пиримидино-тиазола</w:t>
            </w:r>
            <w:proofErr w:type="spellEnd"/>
            <w:r w:rsidR="003D078C" w:rsidRPr="003D078C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>Анализ лекарственных средств, производных пурина.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>Анализ лекарственных средств, производных пурина и гуанина.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</w:t>
            </w:r>
            <w:proofErr w:type="spellStart"/>
            <w:r w:rsidR="003D078C" w:rsidRPr="003D078C">
              <w:rPr>
                <w:sz w:val="28"/>
              </w:rPr>
              <w:t>фенотиазина</w:t>
            </w:r>
            <w:proofErr w:type="spellEnd"/>
            <w:r w:rsidR="003D078C" w:rsidRPr="003D078C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</w:t>
            </w:r>
            <w:proofErr w:type="spellStart"/>
            <w:r w:rsidR="003D078C" w:rsidRPr="003D078C">
              <w:rPr>
                <w:sz w:val="28"/>
              </w:rPr>
              <w:t>бензодиазепина</w:t>
            </w:r>
            <w:proofErr w:type="spellEnd"/>
            <w:r w:rsidR="003D078C" w:rsidRPr="003D078C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8C4126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8C4126" w:rsidRPr="003D078C" w:rsidRDefault="008C4126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8C4126" w:rsidRPr="00787520" w:rsidRDefault="008C4126" w:rsidP="008C4126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</w:rPr>
              <w:t xml:space="preserve">Анализ лекарственных средств, производных </w:t>
            </w:r>
            <w:proofErr w:type="spellStart"/>
            <w:r w:rsidR="003D078C" w:rsidRPr="003D078C">
              <w:rPr>
                <w:sz w:val="28"/>
              </w:rPr>
              <w:t>дибензодиазепина</w:t>
            </w:r>
            <w:proofErr w:type="spellEnd"/>
            <w:r w:rsidR="003D078C" w:rsidRPr="003D078C">
              <w:rPr>
                <w:sz w:val="28"/>
              </w:rPr>
              <w:t xml:space="preserve">, 1,5-бензотиазепина, </w:t>
            </w:r>
            <w:proofErr w:type="spellStart"/>
            <w:r w:rsidR="003D078C" w:rsidRPr="003D078C">
              <w:rPr>
                <w:sz w:val="28"/>
              </w:rPr>
              <w:t>иминостильбена</w:t>
            </w:r>
            <w:proofErr w:type="spellEnd"/>
            <w:r w:rsidR="003D078C" w:rsidRPr="003D078C">
              <w:rPr>
                <w:sz w:val="28"/>
              </w:rPr>
              <w:t xml:space="preserve">, 10,11- </w:t>
            </w:r>
            <w:proofErr w:type="spellStart"/>
            <w:r w:rsidR="003D078C" w:rsidRPr="003D078C">
              <w:rPr>
                <w:sz w:val="28"/>
              </w:rPr>
              <w:t>дигидродибензоциклогептана</w:t>
            </w:r>
            <w:proofErr w:type="spellEnd"/>
            <w:r w:rsidR="003D078C" w:rsidRPr="003D078C">
              <w:rPr>
                <w:sz w:val="28"/>
              </w:rPr>
              <w:t>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8C4126" w:rsidRPr="00787520" w:rsidRDefault="008C4126" w:rsidP="008C4126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8C4126" w:rsidRPr="00787520" w:rsidRDefault="008C4126" w:rsidP="008C4126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061A9B" w:rsidRPr="00787520" w:rsidTr="003D078C">
        <w:tc>
          <w:tcPr>
            <w:tcW w:w="11030" w:type="dxa"/>
            <w:gridSpan w:val="6"/>
            <w:shd w:val="clear" w:color="auto" w:fill="auto"/>
          </w:tcPr>
          <w:p w:rsidR="00061A9B" w:rsidRPr="00787520" w:rsidRDefault="00061A9B" w:rsidP="00061A9B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061A9B" w:rsidRPr="00787520" w:rsidRDefault="003D078C" w:rsidP="00061A9B">
            <w:pPr>
              <w:contextualSpacing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50</w:t>
            </w:r>
            <w:r w:rsidR="00061A9B" w:rsidRPr="00787520">
              <w:rPr>
                <w:i/>
                <w:sz w:val="28"/>
              </w:rPr>
              <w:t xml:space="preserve">модуля </w:t>
            </w:r>
            <w:r w:rsidR="00061A9B" w:rsidRPr="00787520">
              <w:rPr>
                <w:sz w:val="28"/>
              </w:rPr>
              <w:t>«</w:t>
            </w:r>
            <w:r w:rsidRPr="003D078C">
              <w:rPr>
                <w:sz w:val="28"/>
                <w:szCs w:val="28"/>
              </w:rPr>
              <w:t>Обеспечение качества ЛС</w:t>
            </w:r>
            <w:r w:rsidR="00061A9B" w:rsidRPr="00787520">
              <w:rPr>
                <w:sz w:val="28"/>
              </w:rPr>
              <w:t>»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787520" w:rsidRDefault="00061A9B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  <w:bookmarkStart w:id="0" w:name="_GoBack" w:colFirst="0" w:colLast="0"/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  <w:szCs w:val="28"/>
              </w:rPr>
              <w:t>Государственная система контроля качества, эффективности и безопасности лекарственных средств. Обеспечение качества лекарственных средств при производстве, распределении, хранении лекарственных средств.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787520" w:rsidRDefault="00061A9B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  <w:szCs w:val="28"/>
              </w:rPr>
              <w:t>Фальсификаты и методы их обнаружения. Система подтверждения соответствия качества лекарственных средств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787520" w:rsidRDefault="00061A9B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  <w:szCs w:val="28"/>
              </w:rPr>
              <w:t>Стандартизация лекарственных средств - организационно-техническая основа управления качеством продукции.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787520" w:rsidRDefault="00061A9B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  <w:szCs w:val="28"/>
              </w:rPr>
              <w:t>Роль аналитических методов в процессе созидания и исследования новых ЛВ. Производство ЛС.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787520" w:rsidRDefault="00061A9B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proofErr w:type="spellStart"/>
            <w:r w:rsidR="003D078C" w:rsidRPr="003D078C">
              <w:rPr>
                <w:sz w:val="28"/>
                <w:szCs w:val="28"/>
              </w:rPr>
              <w:t>Валидация</w:t>
            </w:r>
            <w:proofErr w:type="spellEnd"/>
            <w:r w:rsidR="003D078C" w:rsidRPr="003D078C">
              <w:rPr>
                <w:sz w:val="28"/>
                <w:szCs w:val="28"/>
              </w:rPr>
              <w:t>. Система контроля качества ЛС в условиях химико-фармацевтического предприятия.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061A9B" w:rsidRPr="00787520" w:rsidTr="003D078C">
        <w:trPr>
          <w:gridAfter w:val="1"/>
          <w:wAfter w:w="13" w:type="dxa"/>
        </w:trPr>
        <w:tc>
          <w:tcPr>
            <w:tcW w:w="1271" w:type="dxa"/>
            <w:shd w:val="clear" w:color="auto" w:fill="auto"/>
          </w:tcPr>
          <w:p w:rsidR="00061A9B" w:rsidRPr="00787520" w:rsidRDefault="00061A9B" w:rsidP="003D078C">
            <w:pPr>
              <w:pStyle w:val="aa"/>
              <w:numPr>
                <w:ilvl w:val="0"/>
                <w:numId w:val="17"/>
              </w:numPr>
              <w:contextualSpacing/>
              <w:jc w:val="center"/>
              <w:rPr>
                <w:sz w:val="28"/>
              </w:rPr>
            </w:pPr>
          </w:p>
        </w:tc>
        <w:tc>
          <w:tcPr>
            <w:tcW w:w="4367" w:type="dxa"/>
            <w:shd w:val="clear" w:color="auto" w:fill="auto"/>
          </w:tcPr>
          <w:p w:rsidR="00061A9B" w:rsidRPr="00787520" w:rsidRDefault="00061A9B" w:rsidP="003D078C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3D078C" w:rsidRPr="003D078C">
              <w:rPr>
                <w:sz w:val="28"/>
                <w:szCs w:val="28"/>
              </w:rPr>
              <w:t xml:space="preserve">Контроль качества лекарств, изготовляемых в аптеках. Документы, нормирующие деятельность </w:t>
            </w:r>
            <w:proofErr w:type="spellStart"/>
            <w:r w:rsidR="003D078C" w:rsidRPr="003D078C">
              <w:rPr>
                <w:sz w:val="28"/>
                <w:szCs w:val="28"/>
              </w:rPr>
              <w:t>КАиЛ</w:t>
            </w:r>
            <w:proofErr w:type="spellEnd"/>
            <w:r w:rsidR="003D078C" w:rsidRPr="003D078C">
              <w:rPr>
                <w:sz w:val="28"/>
                <w:szCs w:val="28"/>
              </w:rPr>
              <w:t>. Роль и место метрологии в стандартизации и контроле</w:t>
            </w:r>
            <w:r w:rsidR="003D078C">
              <w:rPr>
                <w:sz w:val="28"/>
                <w:szCs w:val="28"/>
              </w:rPr>
              <w:t xml:space="preserve"> качества лекарственных средств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61A9B" w:rsidRPr="00787520" w:rsidRDefault="00061A9B" w:rsidP="00061A9B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061A9B" w:rsidRPr="00787520" w:rsidRDefault="00061A9B" w:rsidP="00061A9B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bookmarkEnd w:id="0"/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05E0E" w:rsidRPr="009C4A0D" w:rsidRDefault="00D05E0E" w:rsidP="00D05E0E">
      <w:pPr>
        <w:ind w:firstLine="709"/>
        <w:jc w:val="both"/>
        <w:rPr>
          <w:color w:val="000000"/>
          <w:sz w:val="10"/>
          <w:szCs w:val="28"/>
        </w:rPr>
      </w:pP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4FF34" wp14:editId="5BBF644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82CE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76D155" wp14:editId="6149860A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F65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 xml:space="preserve">слова, наиболее часто встречающиеся в данной области, </w:t>
      </w:r>
      <w:r w:rsidRPr="006E062D">
        <w:rPr>
          <w:color w:val="000000"/>
          <w:spacing w:val="-2"/>
          <w:sz w:val="28"/>
          <w:szCs w:val="28"/>
        </w:rPr>
        <w:lastRenderedPageBreak/>
        <w:t>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05E0E" w:rsidRPr="00460AEA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05E0E" w:rsidRPr="00C35B2E" w:rsidRDefault="00D05E0E" w:rsidP="00D05E0E">
      <w:pPr>
        <w:ind w:firstLine="709"/>
        <w:jc w:val="both"/>
        <w:rPr>
          <w:sz w:val="8"/>
          <w:szCs w:val="28"/>
        </w:rPr>
      </w:pPr>
    </w:p>
    <w:p w:rsidR="00D05E0E" w:rsidRPr="00821EB4" w:rsidRDefault="00D05E0E" w:rsidP="00D05E0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05E0E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05E0E" w:rsidRPr="00981A6C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05E0E" w:rsidRPr="009F413C" w:rsidRDefault="00D05E0E" w:rsidP="00D05E0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05E0E" w:rsidRPr="009F413C" w:rsidRDefault="00D05E0E" w:rsidP="00D05E0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D05E0E" w:rsidRPr="00755609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D05E0E" w:rsidRPr="00755609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42208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D05E0E" w:rsidRPr="00742208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D05E0E" w:rsidRPr="00BD5AFD" w:rsidRDefault="00D05E0E" w:rsidP="00D05E0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D05E0E" w:rsidRPr="00BD5AFD" w:rsidRDefault="00D05E0E" w:rsidP="00D05E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BD5AFD" w:rsidRDefault="00D05E0E" w:rsidP="00D05E0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5E0E" w:rsidRPr="00BD5AFD" w:rsidRDefault="00D05E0E" w:rsidP="00D0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D05E0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D05E0E" w:rsidRPr="00C35B2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91" w:rsidRDefault="00EE7391" w:rsidP="00FD5B6B">
      <w:r>
        <w:separator/>
      </w:r>
    </w:p>
  </w:endnote>
  <w:endnote w:type="continuationSeparator" w:id="0">
    <w:p w:rsidR="00EE7391" w:rsidRDefault="00EE739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06" w:rsidRDefault="002A3C0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22569">
      <w:rPr>
        <w:noProof/>
      </w:rPr>
      <w:t>18</w:t>
    </w:r>
    <w:r>
      <w:fldChar w:fldCharType="end"/>
    </w:r>
  </w:p>
  <w:p w:rsidR="002A3C06" w:rsidRDefault="002A3C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91" w:rsidRDefault="00EE7391" w:rsidP="00FD5B6B">
      <w:r>
        <w:separator/>
      </w:r>
    </w:p>
  </w:footnote>
  <w:footnote w:type="continuationSeparator" w:id="0">
    <w:p w:rsidR="00EE7391" w:rsidRDefault="00EE739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57AA5"/>
    <w:multiLevelType w:val="hybridMultilevel"/>
    <w:tmpl w:val="1520D31E"/>
    <w:lvl w:ilvl="0" w:tplc="0256DAD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E19D2"/>
    <w:multiLevelType w:val="hybridMultilevel"/>
    <w:tmpl w:val="133427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EA0DC0"/>
    <w:multiLevelType w:val="hybridMultilevel"/>
    <w:tmpl w:val="657E280A"/>
    <w:lvl w:ilvl="0" w:tplc="A68A980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E0D5A"/>
    <w:multiLevelType w:val="hybridMultilevel"/>
    <w:tmpl w:val="776A821E"/>
    <w:lvl w:ilvl="0" w:tplc="A36AB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B737E"/>
    <w:multiLevelType w:val="hybridMultilevel"/>
    <w:tmpl w:val="0772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9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61A9B"/>
    <w:rsid w:val="00083C34"/>
    <w:rsid w:val="000931E3"/>
    <w:rsid w:val="00165AEA"/>
    <w:rsid w:val="001F5EE1"/>
    <w:rsid w:val="001F6B99"/>
    <w:rsid w:val="0026698D"/>
    <w:rsid w:val="002A3C06"/>
    <w:rsid w:val="002C65B8"/>
    <w:rsid w:val="002D2784"/>
    <w:rsid w:val="00314700"/>
    <w:rsid w:val="003366B4"/>
    <w:rsid w:val="003B5F75"/>
    <w:rsid w:val="003C37BE"/>
    <w:rsid w:val="003D078C"/>
    <w:rsid w:val="00422569"/>
    <w:rsid w:val="00476000"/>
    <w:rsid w:val="004B2C94"/>
    <w:rsid w:val="004C1386"/>
    <w:rsid w:val="004D1091"/>
    <w:rsid w:val="00541CF7"/>
    <w:rsid w:val="005677BE"/>
    <w:rsid w:val="00582BA5"/>
    <w:rsid w:val="00593334"/>
    <w:rsid w:val="005E3DBE"/>
    <w:rsid w:val="006847B8"/>
    <w:rsid w:val="00693E11"/>
    <w:rsid w:val="006A3925"/>
    <w:rsid w:val="006F14A4"/>
    <w:rsid w:val="006F7AD8"/>
    <w:rsid w:val="00742208"/>
    <w:rsid w:val="00755609"/>
    <w:rsid w:val="00787520"/>
    <w:rsid w:val="0079237F"/>
    <w:rsid w:val="008113A5"/>
    <w:rsid w:val="00832D24"/>
    <w:rsid w:val="00845C7D"/>
    <w:rsid w:val="008C4126"/>
    <w:rsid w:val="009511F7"/>
    <w:rsid w:val="00985E1D"/>
    <w:rsid w:val="009978D9"/>
    <w:rsid w:val="009C2F35"/>
    <w:rsid w:val="009C4A0D"/>
    <w:rsid w:val="009F49C5"/>
    <w:rsid w:val="00A61FEB"/>
    <w:rsid w:val="00AD3EBB"/>
    <w:rsid w:val="00AF327C"/>
    <w:rsid w:val="00B350F3"/>
    <w:rsid w:val="00BF1CD1"/>
    <w:rsid w:val="00C35B2E"/>
    <w:rsid w:val="00C83AB7"/>
    <w:rsid w:val="00CC18B4"/>
    <w:rsid w:val="00D05E0E"/>
    <w:rsid w:val="00D06B87"/>
    <w:rsid w:val="00D33524"/>
    <w:rsid w:val="00D35869"/>
    <w:rsid w:val="00D471E6"/>
    <w:rsid w:val="00E57C66"/>
    <w:rsid w:val="00EE7391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3E73E2"/>
  <w15:docId w15:val="{8E822C51-B9DD-4E2D-BC52-2380254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Home</cp:lastModifiedBy>
  <cp:revision>2</cp:revision>
  <dcterms:created xsi:type="dcterms:W3CDTF">2019-10-20T18:52:00Z</dcterms:created>
  <dcterms:modified xsi:type="dcterms:W3CDTF">2019-10-20T18:52:00Z</dcterms:modified>
</cp:coreProperties>
</file>