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86D" w:rsidRDefault="008A586D" w:rsidP="008A586D">
      <w:pPr>
        <w:ind w:firstLine="720"/>
        <w:jc w:val="center"/>
        <w:rPr>
          <w:b/>
          <w:bCs/>
          <w:szCs w:val="20"/>
        </w:rPr>
      </w:pPr>
      <w:r>
        <w:rPr>
          <w:b/>
          <w:bCs/>
          <w:szCs w:val="20"/>
        </w:rPr>
        <w:t>Методические указания для студентов</w:t>
      </w:r>
      <w:bookmarkStart w:id="0" w:name="_GoBack"/>
      <w:bookmarkEnd w:id="0"/>
    </w:p>
    <w:p w:rsidR="008A586D" w:rsidRDefault="008A586D" w:rsidP="008A586D">
      <w:pPr>
        <w:ind w:firstLine="720"/>
        <w:jc w:val="center"/>
        <w:rPr>
          <w:b/>
          <w:bCs/>
          <w:szCs w:val="20"/>
        </w:rPr>
      </w:pPr>
      <w:r>
        <w:rPr>
          <w:b/>
          <w:bCs/>
          <w:szCs w:val="20"/>
        </w:rPr>
        <w:t>Принципы рациональной антибиотикотерапии</w:t>
      </w:r>
    </w:p>
    <w:p w:rsidR="008A586D" w:rsidRDefault="008A586D" w:rsidP="008A586D">
      <w:pPr>
        <w:ind w:firstLine="720"/>
        <w:jc w:val="center"/>
        <w:rPr>
          <w:b/>
          <w:bCs/>
          <w:szCs w:val="20"/>
        </w:rPr>
      </w:pPr>
      <w:r>
        <w:rPr>
          <w:b/>
          <w:bCs/>
          <w:szCs w:val="20"/>
        </w:rPr>
        <w:t>в неонатологии и пед</w:t>
      </w:r>
      <w:r>
        <w:rPr>
          <w:b/>
          <w:bCs/>
          <w:szCs w:val="20"/>
        </w:rPr>
        <w:t>и</w:t>
      </w:r>
      <w:r>
        <w:rPr>
          <w:b/>
          <w:bCs/>
          <w:szCs w:val="20"/>
        </w:rPr>
        <w:t>атрии:</w:t>
      </w:r>
    </w:p>
    <w:p w:rsidR="008A586D" w:rsidRDefault="008A586D" w:rsidP="008A586D">
      <w:pPr>
        <w:numPr>
          <w:ilvl w:val="0"/>
          <w:numId w:val="1"/>
        </w:numPr>
        <w:tabs>
          <w:tab w:val="clear" w:pos="1440"/>
          <w:tab w:val="num" w:pos="737"/>
        </w:tabs>
        <w:ind w:left="737" w:hanging="335"/>
        <w:jc w:val="both"/>
      </w:pPr>
      <w:r>
        <w:t>антимикробные лекарственные средства следует применять лишь в тех случаях, когда имеются доказательно обоснованные данные относ</w:t>
      </w:r>
      <w:r>
        <w:t>и</w:t>
      </w:r>
      <w:r>
        <w:t>тельно их эффективности и безопасности при конкретном инфекцио</w:t>
      </w:r>
      <w:r>
        <w:t>н</w:t>
      </w:r>
      <w:r>
        <w:t>ном заболевании;</w:t>
      </w:r>
    </w:p>
    <w:p w:rsidR="008A586D" w:rsidRDefault="008A586D" w:rsidP="008A586D">
      <w:pPr>
        <w:numPr>
          <w:ilvl w:val="0"/>
          <w:numId w:val="1"/>
        </w:numPr>
        <w:tabs>
          <w:tab w:val="clear" w:pos="1440"/>
          <w:tab w:val="num" w:pos="737"/>
        </w:tabs>
        <w:ind w:left="737" w:hanging="335"/>
        <w:jc w:val="both"/>
      </w:pPr>
      <w:r>
        <w:t>схема антибактериальной терапии должна быть построена либо на основании предполагаемого диагноза и локализации инфекционного пр</w:t>
      </w:r>
      <w:r>
        <w:t>о</w:t>
      </w:r>
      <w:r>
        <w:t>цесса (эмпирическая терапия), либо на основании вида выделенного и идентифицированного патогенного микроорганизма (целенаправленная терапия);</w:t>
      </w:r>
    </w:p>
    <w:p w:rsidR="008A586D" w:rsidRDefault="008A586D" w:rsidP="008A586D">
      <w:pPr>
        <w:numPr>
          <w:ilvl w:val="0"/>
          <w:numId w:val="1"/>
        </w:numPr>
        <w:tabs>
          <w:tab w:val="clear" w:pos="1440"/>
          <w:tab w:val="num" w:pos="737"/>
        </w:tabs>
        <w:ind w:left="737" w:hanging="335"/>
        <w:jc w:val="both"/>
      </w:pPr>
      <w:r>
        <w:t>режим дозирования (доза, кратность) и продолжительность прим</w:t>
      </w:r>
      <w:r>
        <w:t>е</w:t>
      </w:r>
      <w:r>
        <w:t>нения антибактериального средства должен не только обеспечивать в</w:t>
      </w:r>
      <w:r>
        <w:t>ы</w:t>
      </w:r>
      <w:r>
        <w:t>сокую клиническую эффективность и безопасность, но и минимизировать риск формирования микробной резистентн</w:t>
      </w:r>
      <w:r>
        <w:t>о</w:t>
      </w:r>
      <w:r>
        <w:t>сти.</w:t>
      </w:r>
    </w:p>
    <w:p w:rsidR="008A586D" w:rsidRDefault="008A586D" w:rsidP="008A586D">
      <w:pPr>
        <w:jc w:val="both"/>
      </w:pPr>
    </w:p>
    <w:p w:rsidR="008A586D" w:rsidRDefault="008A586D" w:rsidP="008A586D">
      <w:pPr>
        <w:ind w:firstLine="720"/>
        <w:jc w:val="both"/>
      </w:pPr>
      <w:r>
        <w:rPr>
          <w:b/>
          <w:bCs/>
        </w:rPr>
        <w:t>Эмпирическая антибактериальная терапия</w:t>
      </w:r>
      <w:r>
        <w:t xml:space="preserve"> должна основываться на име</w:t>
      </w:r>
      <w:r>
        <w:t>ю</w:t>
      </w:r>
      <w:r>
        <w:t>щейся в распоряжении врача информации о:</w:t>
      </w:r>
    </w:p>
    <w:p w:rsidR="008A586D" w:rsidRDefault="008A586D" w:rsidP="008A586D">
      <w:pPr>
        <w:numPr>
          <w:ilvl w:val="0"/>
          <w:numId w:val="2"/>
        </w:numPr>
        <w:jc w:val="both"/>
      </w:pPr>
      <w:r>
        <w:t>локализации и характере инфекции (острая, хроническая), а также месте ее возникновения (амбулаторная, госпитальная);</w:t>
      </w:r>
    </w:p>
    <w:p w:rsidR="008A586D" w:rsidRDefault="008A586D" w:rsidP="008A586D">
      <w:pPr>
        <w:numPr>
          <w:ilvl w:val="0"/>
          <w:numId w:val="2"/>
        </w:numPr>
        <w:jc w:val="both"/>
      </w:pPr>
      <w:r>
        <w:t>потенциальном возбудителе болезни;</w:t>
      </w:r>
    </w:p>
    <w:p w:rsidR="008A586D" w:rsidRDefault="008A586D" w:rsidP="008A586D">
      <w:pPr>
        <w:numPr>
          <w:ilvl w:val="0"/>
          <w:numId w:val="2"/>
        </w:numPr>
        <w:jc w:val="both"/>
      </w:pPr>
      <w:r>
        <w:t>местной эпидемиологической ситуации;</w:t>
      </w:r>
    </w:p>
    <w:p w:rsidR="008A586D" w:rsidRDefault="008A586D" w:rsidP="008A586D">
      <w:pPr>
        <w:numPr>
          <w:ilvl w:val="0"/>
          <w:numId w:val="2"/>
        </w:numPr>
        <w:jc w:val="both"/>
      </w:pPr>
      <w:r>
        <w:t>возрасте пациента.</w:t>
      </w:r>
    </w:p>
    <w:p w:rsidR="008A586D" w:rsidRDefault="008A586D" w:rsidP="008A586D">
      <w:pPr>
        <w:pStyle w:val="3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Оценка клинической эффективности выбранной схемы должна пров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диться не ранее 48 – 72 часов с момента начала лечения. Схема и режим н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чальной тер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пии должны быть пересмотрены при выделении и идентификации в п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севе культуры микроорганизмов.</w:t>
      </w:r>
    </w:p>
    <w:p w:rsidR="008A586D" w:rsidRDefault="008A586D" w:rsidP="008A586D">
      <w:pPr>
        <w:spacing w:line="360" w:lineRule="auto"/>
        <w:jc w:val="both"/>
      </w:pPr>
      <w:r>
        <w:tab/>
        <w:t>Приводим некоторые примеры использования антимикробных препар</w:t>
      </w:r>
      <w:r>
        <w:t>а</w:t>
      </w:r>
      <w:r>
        <w:t>тов (</w:t>
      </w:r>
      <w:proofErr w:type="spellStart"/>
      <w:r>
        <w:t>В.С.Шухов</w:t>
      </w:r>
      <w:proofErr w:type="spellEnd"/>
      <w:r>
        <w:t xml:space="preserve">, </w:t>
      </w:r>
      <w:proofErr w:type="spellStart"/>
      <w:r>
        <w:t>Н.Н.Володин</w:t>
      </w:r>
      <w:proofErr w:type="spellEnd"/>
      <w:r>
        <w:t xml:space="preserve"> и др., 2004):</w:t>
      </w:r>
    </w:p>
    <w:p w:rsidR="008A586D" w:rsidRDefault="008A586D" w:rsidP="008A586D">
      <w:pPr>
        <w:ind w:firstLine="708"/>
        <w:jc w:val="both"/>
      </w:pPr>
      <w:r>
        <w:rPr>
          <w:b/>
          <w:bCs/>
          <w:i/>
          <w:iCs/>
        </w:rPr>
        <w:t>Остеомиелит у новорожденных</w:t>
      </w:r>
      <w:r>
        <w:rPr>
          <w:i/>
          <w:iCs/>
        </w:rPr>
        <w:t xml:space="preserve"> (возбудитель не идентифицирован)</w:t>
      </w:r>
      <w:r>
        <w:t xml:space="preserve"> – </w:t>
      </w:r>
      <w:r>
        <w:rPr>
          <w:b/>
          <w:bCs/>
        </w:rPr>
        <w:t>Окс</w:t>
      </w:r>
      <w:r>
        <w:rPr>
          <w:b/>
          <w:bCs/>
        </w:rPr>
        <w:t>а</w:t>
      </w:r>
      <w:r>
        <w:rPr>
          <w:b/>
          <w:bCs/>
        </w:rPr>
        <w:t xml:space="preserve">циллин </w:t>
      </w:r>
      <w:r>
        <w:t>12,5 мг/кг (в/</w:t>
      </w:r>
      <w:proofErr w:type="spellStart"/>
      <w:proofErr w:type="gramStart"/>
      <w:r>
        <w:t>в,в</w:t>
      </w:r>
      <w:proofErr w:type="spellEnd"/>
      <w:proofErr w:type="gramEnd"/>
      <w:r>
        <w:t xml:space="preserve">/м) 3 раза в день каждые 8 часов с сочетании с введением </w:t>
      </w:r>
      <w:proofErr w:type="spellStart"/>
      <w:r>
        <w:rPr>
          <w:b/>
          <w:bCs/>
        </w:rPr>
        <w:t>Цефатаксима</w:t>
      </w:r>
      <w:proofErr w:type="spellEnd"/>
      <w:r>
        <w:t xml:space="preserve"> 50 мг/кг (в/в, в/м) 3 раза в день каждые 8 часов в т</w:t>
      </w:r>
      <w:r>
        <w:t>е</w:t>
      </w:r>
      <w:r>
        <w:t>чение 4-6 дней или до достижения клинического эффекта); продолжая т</w:t>
      </w:r>
      <w:r>
        <w:t>е</w:t>
      </w:r>
      <w:r>
        <w:t xml:space="preserve">рапию приемом </w:t>
      </w:r>
      <w:r>
        <w:rPr>
          <w:b/>
          <w:bCs/>
        </w:rPr>
        <w:t xml:space="preserve">Амоксициллина </w:t>
      </w:r>
      <w:r>
        <w:t>15 мг/кг внутрь 3 раза в день.</w:t>
      </w:r>
    </w:p>
    <w:p w:rsidR="008A586D" w:rsidRDefault="008A586D" w:rsidP="008A586D">
      <w:pPr>
        <w:ind w:firstLine="708"/>
        <w:jc w:val="both"/>
      </w:pPr>
      <w:r>
        <w:rPr>
          <w:b/>
          <w:bCs/>
          <w:i/>
          <w:iCs/>
        </w:rPr>
        <w:t>Остеомиелит у детей старше 5 лет,</w:t>
      </w:r>
      <w:r>
        <w:t xml:space="preserve"> </w:t>
      </w:r>
      <w:r>
        <w:rPr>
          <w:i/>
          <w:iCs/>
        </w:rPr>
        <w:t>вызванный золотистым стаф</w:t>
      </w:r>
      <w:r>
        <w:rPr>
          <w:i/>
          <w:iCs/>
        </w:rPr>
        <w:t>и</w:t>
      </w:r>
      <w:r>
        <w:rPr>
          <w:i/>
          <w:iCs/>
        </w:rPr>
        <w:t>лококком</w:t>
      </w:r>
      <w:r>
        <w:t xml:space="preserve"> – </w:t>
      </w:r>
      <w:r>
        <w:rPr>
          <w:b/>
          <w:bCs/>
        </w:rPr>
        <w:t>Оксациллин</w:t>
      </w:r>
      <w:r>
        <w:t xml:space="preserve"> 25-50 мг/кг (в/в, в/м) 4-6 раз в день, продолжая ста</w:t>
      </w:r>
      <w:r>
        <w:t>р</w:t>
      </w:r>
      <w:r>
        <w:t xml:space="preserve">товую терапию приемом </w:t>
      </w:r>
      <w:r>
        <w:rPr>
          <w:b/>
          <w:bCs/>
        </w:rPr>
        <w:t>Оксациллина</w:t>
      </w:r>
      <w:r>
        <w:t xml:space="preserve"> 25 мг/кг внутрь 4 раза в день в течение 4 – 6 н</w:t>
      </w:r>
      <w:r>
        <w:t>е</w:t>
      </w:r>
      <w:r>
        <w:t xml:space="preserve">дель или </w:t>
      </w:r>
      <w:proofErr w:type="spellStart"/>
      <w:r>
        <w:rPr>
          <w:b/>
          <w:bCs/>
        </w:rPr>
        <w:t>Цефтриаксон</w:t>
      </w:r>
      <w:proofErr w:type="spellEnd"/>
      <w:r>
        <w:t xml:space="preserve"> 50-75 мг/кг (в/в, в/м) каждые 24 часа в течение 4 – 6 дней (или до получения клинического эффекта), продолжая стартовую тер</w:t>
      </w:r>
      <w:r>
        <w:t>а</w:t>
      </w:r>
      <w:r>
        <w:t xml:space="preserve">пию введением </w:t>
      </w:r>
      <w:proofErr w:type="spellStart"/>
      <w:r>
        <w:rPr>
          <w:b/>
          <w:bCs/>
        </w:rPr>
        <w:t>Цефазолина</w:t>
      </w:r>
      <w:proofErr w:type="spellEnd"/>
      <w:r>
        <w:t xml:space="preserve"> или </w:t>
      </w:r>
      <w:proofErr w:type="spellStart"/>
      <w:r>
        <w:rPr>
          <w:b/>
          <w:bCs/>
        </w:rPr>
        <w:t>Цефалексина</w:t>
      </w:r>
      <w:proofErr w:type="spellEnd"/>
      <w:r>
        <w:t>.</w:t>
      </w:r>
    </w:p>
    <w:p w:rsidR="008A586D" w:rsidRDefault="008A586D" w:rsidP="008A586D">
      <w:pPr>
        <w:ind w:firstLine="708"/>
        <w:jc w:val="both"/>
        <w:rPr>
          <w:b/>
          <w:bCs/>
        </w:rPr>
      </w:pPr>
      <w:r>
        <w:t xml:space="preserve">В то же время детские хирурги в качестве </w:t>
      </w:r>
      <w:r>
        <w:rPr>
          <w:i/>
          <w:iCs/>
        </w:rPr>
        <w:t>стартовой терапии при ос</w:t>
      </w:r>
      <w:r>
        <w:rPr>
          <w:i/>
          <w:iCs/>
        </w:rPr>
        <w:t>т</w:t>
      </w:r>
      <w:r>
        <w:rPr>
          <w:i/>
          <w:iCs/>
        </w:rPr>
        <w:t xml:space="preserve">ром гематогенном остеомиелите </w:t>
      </w:r>
      <w:r>
        <w:t>считают целесообразным назначение комб</w:t>
      </w:r>
      <w:r>
        <w:t>и</w:t>
      </w:r>
      <w:r>
        <w:t xml:space="preserve">нации </w:t>
      </w:r>
      <w:proofErr w:type="spellStart"/>
      <w:r>
        <w:rPr>
          <w:b/>
          <w:bCs/>
        </w:rPr>
        <w:t>беталактамов</w:t>
      </w:r>
      <w:proofErr w:type="spellEnd"/>
      <w:r>
        <w:t xml:space="preserve"> (</w:t>
      </w:r>
      <w:r>
        <w:rPr>
          <w:i/>
          <w:iCs/>
        </w:rPr>
        <w:t>полусинтетические пенициллины, цефалоспорины</w:t>
      </w:r>
      <w:r>
        <w:t xml:space="preserve">) с </w:t>
      </w:r>
      <w:proofErr w:type="spellStart"/>
      <w:r>
        <w:rPr>
          <w:b/>
          <w:bCs/>
        </w:rPr>
        <w:t>аминогликазидами</w:t>
      </w:r>
      <w:proofErr w:type="spellEnd"/>
      <w:r>
        <w:t xml:space="preserve"> (</w:t>
      </w:r>
      <w:r>
        <w:rPr>
          <w:i/>
          <w:iCs/>
        </w:rPr>
        <w:t>гентамицин</w:t>
      </w:r>
      <w:r>
        <w:t xml:space="preserve">) с последующим переходом на </w:t>
      </w:r>
      <w:proofErr w:type="spellStart"/>
      <w:r>
        <w:rPr>
          <w:b/>
          <w:bCs/>
        </w:rPr>
        <w:t>Ли</w:t>
      </w:r>
      <w:r>
        <w:rPr>
          <w:b/>
          <w:bCs/>
        </w:rPr>
        <w:t>н</w:t>
      </w:r>
      <w:r>
        <w:rPr>
          <w:b/>
          <w:bCs/>
        </w:rPr>
        <w:t>комицин</w:t>
      </w:r>
      <w:proofErr w:type="spellEnd"/>
      <w:r>
        <w:rPr>
          <w:b/>
          <w:bCs/>
        </w:rPr>
        <w:t>.</w:t>
      </w:r>
    </w:p>
    <w:p w:rsidR="00DE3C02" w:rsidRDefault="00DE3C02"/>
    <w:sectPr w:rsidR="00DE3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B69A6"/>
    <w:multiLevelType w:val="hybridMultilevel"/>
    <w:tmpl w:val="CBA04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60297C"/>
    <w:multiLevelType w:val="hybridMultilevel"/>
    <w:tmpl w:val="4BEE458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03"/>
    <w:rsid w:val="00634003"/>
    <w:rsid w:val="008A586D"/>
    <w:rsid w:val="00DE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9DCDB-5ABA-4B21-B107-483BC3BE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8A586D"/>
    <w:pPr>
      <w:spacing w:line="360" w:lineRule="auto"/>
      <w:ind w:firstLine="720"/>
      <w:jc w:val="both"/>
    </w:pPr>
    <w:rPr>
      <w:rFonts w:ascii="Courier New" w:hAnsi="Courier New" w:cs="Courier New"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A586D"/>
    <w:rPr>
      <w:rFonts w:ascii="Courier New" w:eastAsia="Times New Roman" w:hAnsi="Courier New" w:cs="Courier New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2017-03-06T15:04:00Z</dcterms:created>
  <dcterms:modified xsi:type="dcterms:W3CDTF">2017-03-06T15:04:00Z</dcterms:modified>
</cp:coreProperties>
</file>