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8" w:rsidRPr="003B1438" w:rsidRDefault="003B1438" w:rsidP="003B1438">
      <w:pPr>
        <w:pStyle w:val="a3"/>
        <w:ind w:firstLine="670"/>
        <w:rPr>
          <w:bCs w:val="0"/>
          <w:sz w:val="24"/>
        </w:rPr>
      </w:pPr>
      <w:bookmarkStart w:id="0" w:name="_GoBack"/>
      <w:bookmarkEnd w:id="0"/>
      <w:r w:rsidRPr="003B1438">
        <w:rPr>
          <w:bCs w:val="0"/>
          <w:sz w:val="24"/>
        </w:rPr>
        <w:t>Методические указания для студентов</w:t>
      </w:r>
    </w:p>
    <w:p w:rsidR="003B1438" w:rsidRDefault="003B1438" w:rsidP="003B1438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Практическое занятие </w:t>
      </w:r>
    </w:p>
    <w:p w:rsidR="003B1438" w:rsidRDefault="003B1438" w:rsidP="003B143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«Острый аппендицит у детей».</w:t>
      </w:r>
    </w:p>
    <w:p w:rsidR="003B1438" w:rsidRDefault="003B1438" w:rsidP="003B1438">
      <w:pPr>
        <w:numPr>
          <w:ilvl w:val="0"/>
          <w:numId w:val="1"/>
        </w:numPr>
        <w:tabs>
          <w:tab w:val="num" w:pos="72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острых воспалительных процессах в брюшной полости, необходимости своевременной диагностики острого аппендицита для сохранения жизни и здоровья ребенка.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proofErr w:type="spellStart"/>
      <w:r>
        <w:rPr>
          <w:szCs w:val="28"/>
        </w:rPr>
        <w:t>этиопатогенез</w:t>
      </w:r>
      <w:proofErr w:type="spellEnd"/>
      <w:r>
        <w:rPr>
          <w:szCs w:val="28"/>
        </w:rPr>
        <w:t xml:space="preserve"> острого аппендицита; возрастные особенности, влияющие на течение воспалительного процесса в брюшной полости у детей раннего возраста;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острого аппендицита в возрастном аспекте;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острого аппендицита у детей младшего возраста (до 3-х лет);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острого аппендицита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возможные послеоперационные осложнения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острый аппендицит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дополнительных методов исследования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показатели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3B1438" w:rsidRDefault="003B1438" w:rsidP="003B1438">
      <w:pPr>
        <w:pStyle w:val="a5"/>
        <w:spacing w:line="240" w:lineRule="auto"/>
        <w:ind w:left="670" w:firstLine="0"/>
        <w:rPr>
          <w:sz w:val="24"/>
        </w:rPr>
      </w:pPr>
      <w:r>
        <w:rPr>
          <w:sz w:val="24"/>
        </w:rPr>
        <w:t>Вопросы для самоподготовки студентов к практическому занятию.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В каком возрасте наибольшая заболеваемость острым аппендицитом?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Пути инфицирования червеобразного отростка?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Возрастные особенности строения червеобразного отростка у детей.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Назовите возрастные особенности органов брюшной полости у детей младшего возраста.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Механизмы отграничения воспалительного процесса брюшной полости у детей.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Особенности клинической картины у детей младшего возраста.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Клиническая картина у детей старшего возраста.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Особенности обследования детей младшего возраста с подозрением на острый аппендицит.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Показания к госпитализации детей с болями в животе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 Назовите ведущий симптом при остром аппендиците.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копростаз</w:t>
      </w:r>
      <w:proofErr w:type="spellEnd"/>
      <w:r>
        <w:rPr>
          <w:szCs w:val="28"/>
        </w:rPr>
        <w:t>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почечную колику?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перекрут</w:t>
      </w:r>
      <w:proofErr w:type="spellEnd"/>
      <w:r>
        <w:rPr>
          <w:szCs w:val="28"/>
        </w:rPr>
        <w:t xml:space="preserve"> придатка (кисты придатка) у девочки?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желчную колику?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дизентерию?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Назовите способы оперативных вмешательств у детей при остром аппендиците.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Каковы послеоперационные осложнения при </w:t>
      </w:r>
      <w:proofErr w:type="spellStart"/>
      <w:r>
        <w:rPr>
          <w:szCs w:val="28"/>
        </w:rPr>
        <w:t>аппендэктомии</w:t>
      </w:r>
      <w:proofErr w:type="spellEnd"/>
      <w:r>
        <w:rPr>
          <w:szCs w:val="28"/>
        </w:rPr>
        <w:t>?</w:t>
      </w:r>
    </w:p>
    <w:p w:rsidR="00A911F5" w:rsidRDefault="00A911F5"/>
    <w:sectPr w:rsidR="00A9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3835680"/>
    <w:multiLevelType w:val="hybridMultilevel"/>
    <w:tmpl w:val="AD82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B358">
      <w:start w:val="1"/>
      <w:numFmt w:val="decimalZero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D6"/>
    <w:rsid w:val="003B1438"/>
    <w:rsid w:val="006375D6"/>
    <w:rsid w:val="00851822"/>
    <w:rsid w:val="00A911F5"/>
    <w:rsid w:val="00D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9998-CE1E-4A85-9569-4220BD4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438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3B1438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B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2018-04-04T05:49:00Z</dcterms:created>
  <dcterms:modified xsi:type="dcterms:W3CDTF">2018-04-04T05:49:00Z</dcterms:modified>
</cp:coreProperties>
</file>