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3" w:rsidRDefault="00E275A3" w:rsidP="00E275A3">
      <w:pPr>
        <w:jc w:val="center"/>
        <w:rPr>
          <w:b/>
        </w:rPr>
      </w:pPr>
      <w:r w:rsidRPr="00A06315">
        <w:rPr>
          <w:b/>
        </w:rPr>
        <w:t>Лекция № 2</w:t>
      </w:r>
    </w:p>
    <w:p w:rsidR="00E275A3" w:rsidRDefault="00E275A3" w:rsidP="00E275A3">
      <w:pPr>
        <w:ind w:left="268" w:firstLine="402"/>
        <w:jc w:val="both"/>
      </w:pPr>
      <w:r>
        <w:rPr>
          <w:bCs/>
          <w:color w:val="000000"/>
        </w:rPr>
        <w:t xml:space="preserve">1.Тема: </w:t>
      </w:r>
      <w:r>
        <w:t>Синдром «рвоты молоком» у детей грудного возраста.</w:t>
      </w:r>
    </w:p>
    <w:p w:rsidR="00E275A3" w:rsidRDefault="00E275A3" w:rsidP="00E275A3">
      <w:pPr>
        <w:ind w:firstLine="670"/>
        <w:jc w:val="both"/>
      </w:pPr>
      <w:r>
        <w:rPr>
          <w:bCs/>
          <w:color w:val="000000"/>
        </w:rPr>
        <w:t>2. Цель: р</w:t>
      </w:r>
      <w:r>
        <w:t xml:space="preserve">асширить представления ординаторов о функциональных нарушениях и </w:t>
      </w:r>
      <w:proofErr w:type="gramStart"/>
      <w:r>
        <w:t>заболеваниях ,</w:t>
      </w:r>
      <w:proofErr w:type="gramEnd"/>
      <w:r>
        <w:t xml:space="preserve"> приводящих к синдрому рвоты у новорожденных и детей грудного возраста, сформировать у слушателей представление о дифференциальной диагностике синдрома рвоты молоком: врожденная кишечная непроходимость, пилоростеноз, </w:t>
      </w:r>
      <w:proofErr w:type="spellStart"/>
      <w:r>
        <w:t>гастро-эзофагеальный</w:t>
      </w:r>
      <w:proofErr w:type="spellEnd"/>
      <w:r>
        <w:t xml:space="preserve"> рефлюкс, </w:t>
      </w:r>
      <w:proofErr w:type="spellStart"/>
      <w:r>
        <w:t>псевдопилоростеноз</w:t>
      </w:r>
      <w:proofErr w:type="spellEnd"/>
      <w:r>
        <w:t>, пилороспазм.</w:t>
      </w:r>
    </w:p>
    <w:p w:rsidR="00E275A3" w:rsidRPr="00932C8D" w:rsidRDefault="00E275A3" w:rsidP="00E275A3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932C8D">
        <w:rPr>
          <w:rFonts w:ascii="Times New Roman" w:hAnsi="Times New Roman"/>
          <w:color w:val="000000"/>
          <w:sz w:val="24"/>
          <w:szCs w:val="24"/>
        </w:rPr>
        <w:t xml:space="preserve">3. Аннотация </w:t>
      </w:r>
      <w:proofErr w:type="gramStart"/>
      <w:r w:rsidRPr="00932C8D">
        <w:rPr>
          <w:rFonts w:ascii="Times New Roman" w:hAnsi="Times New Roman"/>
          <w:color w:val="000000"/>
          <w:sz w:val="24"/>
          <w:szCs w:val="24"/>
        </w:rPr>
        <w:t xml:space="preserve">лекции:  </w:t>
      </w:r>
      <w:r w:rsidRPr="00932C8D">
        <w:rPr>
          <w:rFonts w:ascii="Times New Roman" w:hAnsi="Times New Roman"/>
          <w:bCs/>
          <w:sz w:val="24"/>
          <w:szCs w:val="24"/>
        </w:rPr>
        <w:t>Синдром</w:t>
      </w:r>
      <w:proofErr w:type="gramEnd"/>
      <w:r w:rsidRPr="00932C8D">
        <w:rPr>
          <w:rFonts w:ascii="Times New Roman" w:hAnsi="Times New Roman"/>
          <w:bCs/>
          <w:sz w:val="24"/>
          <w:szCs w:val="24"/>
        </w:rPr>
        <w:t xml:space="preserve"> «рвоты молоком» у детей грудного возраста. </w:t>
      </w:r>
      <w:proofErr w:type="spellStart"/>
      <w:r w:rsidRPr="00932C8D">
        <w:rPr>
          <w:rFonts w:ascii="Times New Roman" w:hAnsi="Times New Roman"/>
          <w:bCs/>
          <w:sz w:val="24"/>
          <w:szCs w:val="24"/>
        </w:rPr>
        <w:t>Этиопатогенез</w:t>
      </w:r>
      <w:proofErr w:type="spellEnd"/>
      <w:r w:rsidRPr="00932C8D">
        <w:rPr>
          <w:rFonts w:ascii="Times New Roman" w:hAnsi="Times New Roman"/>
          <w:bCs/>
          <w:sz w:val="24"/>
          <w:szCs w:val="24"/>
        </w:rPr>
        <w:t xml:space="preserve">, классификация, клиника, диагностика, дифференциальная диагностика, тактика врача педиатра и алгоритм действия на различных этапах лечения детей с врожденным пилоростенозом, желудочно-пищеводным рефлюксом, </w:t>
      </w:r>
      <w:proofErr w:type="spellStart"/>
      <w:r w:rsidRPr="00932C8D">
        <w:rPr>
          <w:rFonts w:ascii="Times New Roman" w:hAnsi="Times New Roman"/>
          <w:bCs/>
          <w:sz w:val="24"/>
          <w:szCs w:val="24"/>
        </w:rPr>
        <w:t>псевдопилоростенозом</w:t>
      </w:r>
      <w:proofErr w:type="spellEnd"/>
      <w:r w:rsidRPr="00932C8D">
        <w:rPr>
          <w:rFonts w:ascii="Times New Roman" w:hAnsi="Times New Roman"/>
          <w:bCs/>
          <w:sz w:val="24"/>
          <w:szCs w:val="24"/>
        </w:rPr>
        <w:t>, пилороспазмом.</w:t>
      </w:r>
    </w:p>
    <w:p w:rsidR="00E275A3" w:rsidRDefault="00E275A3" w:rsidP="00E275A3">
      <w:pPr>
        <w:pStyle w:val="a3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32C8D">
        <w:rPr>
          <w:rFonts w:ascii="Times New Roman" w:hAnsi="Times New Roman"/>
          <w:sz w:val="24"/>
          <w:szCs w:val="24"/>
        </w:rPr>
        <w:t xml:space="preserve"> Основные слайды лекции представлены в Приложении в электронном варианте.</w:t>
      </w:r>
    </w:p>
    <w:p w:rsidR="00E275A3" w:rsidRPr="008D06C1" w:rsidRDefault="00E275A3" w:rsidP="00E275A3">
      <w:pPr>
        <w:pStyle w:val="a3"/>
        <w:spacing w:line="240" w:lineRule="auto"/>
        <w:ind w:firstLine="670"/>
        <w:jc w:val="both"/>
        <w:rPr>
          <w:rFonts w:ascii="Times New Roman" w:hAnsi="Times New Roman"/>
          <w:bCs/>
          <w:sz w:val="24"/>
          <w:szCs w:val="24"/>
        </w:rPr>
      </w:pPr>
      <w:r w:rsidRPr="008D06C1">
        <w:rPr>
          <w:rFonts w:ascii="Times New Roman" w:hAnsi="Times New Roman"/>
          <w:bCs/>
          <w:sz w:val="24"/>
          <w:szCs w:val="24"/>
        </w:rPr>
        <w:t>4. Форма организации лекции: смешанная (традиционная, обзорная, проблемная), лекция – визуализация.</w:t>
      </w:r>
    </w:p>
    <w:p w:rsidR="00E275A3" w:rsidRPr="00932C8D" w:rsidRDefault="00E275A3" w:rsidP="00E275A3">
      <w:pPr>
        <w:ind w:firstLine="670"/>
        <w:jc w:val="both"/>
      </w:pPr>
      <w:r>
        <w:t xml:space="preserve">4. </w:t>
      </w:r>
      <w:proofErr w:type="spellStart"/>
      <w:r>
        <w:t>Хронокарта</w:t>
      </w:r>
      <w:proofErr w:type="spellEnd"/>
      <w:r>
        <w:t xml:space="preserve"> лекции</w:t>
      </w:r>
      <w:r w:rsidRPr="00932C8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035"/>
        <w:gridCol w:w="3368"/>
        <w:gridCol w:w="1198"/>
      </w:tblGrid>
      <w:tr w:rsidR="00E275A3" w:rsidTr="00DF38C6">
        <w:tc>
          <w:tcPr>
            <w:tcW w:w="757" w:type="dxa"/>
          </w:tcPr>
          <w:p w:rsidR="00E275A3" w:rsidRDefault="00E275A3" w:rsidP="00DF38C6">
            <w:r>
              <w:t>№</w:t>
            </w:r>
          </w:p>
        </w:tc>
        <w:tc>
          <w:tcPr>
            <w:tcW w:w="4143" w:type="dxa"/>
          </w:tcPr>
          <w:p w:rsidR="00E275A3" w:rsidRDefault="00E275A3" w:rsidP="00DF38C6">
            <w:r>
              <w:t>Этапы и содержание занятия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Используемые методы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E275A3" w:rsidRDefault="00E275A3" w:rsidP="00DF38C6">
            <w:r>
              <w:t xml:space="preserve">интерактивные) </w:t>
            </w:r>
          </w:p>
        </w:tc>
        <w:tc>
          <w:tcPr>
            <w:tcW w:w="1218" w:type="dxa"/>
          </w:tcPr>
          <w:p w:rsidR="00E275A3" w:rsidRDefault="00E275A3" w:rsidP="00DF38C6">
            <w:r>
              <w:t>Время в</w:t>
            </w:r>
          </w:p>
          <w:p w:rsidR="00E275A3" w:rsidRDefault="00E275A3" w:rsidP="00DF38C6">
            <w:r>
              <w:t xml:space="preserve">мин </w:t>
            </w:r>
          </w:p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1</w:t>
            </w:r>
          </w:p>
        </w:tc>
        <w:tc>
          <w:tcPr>
            <w:tcW w:w="4143" w:type="dxa"/>
          </w:tcPr>
          <w:p w:rsidR="00E275A3" w:rsidRDefault="00E275A3" w:rsidP="00DF38C6">
            <w:r>
              <w:t xml:space="preserve">Организационный момент. </w:t>
            </w:r>
          </w:p>
          <w:p w:rsidR="00E275A3" w:rsidRDefault="00E275A3" w:rsidP="00DF38C6">
            <w:r>
              <w:t xml:space="preserve">Объявление темы, цели занятия. </w:t>
            </w:r>
          </w:p>
          <w:p w:rsidR="00E275A3" w:rsidRDefault="00E275A3" w:rsidP="00DF38C6">
            <w:r>
              <w:t xml:space="preserve">Оценка готовности аудитории, </w:t>
            </w:r>
          </w:p>
          <w:p w:rsidR="00E275A3" w:rsidRDefault="00E275A3" w:rsidP="00DF38C6">
            <w:r>
              <w:t xml:space="preserve">оборудования и слушателей. 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словесный </w:t>
            </w:r>
          </w:p>
        </w:tc>
        <w:tc>
          <w:tcPr>
            <w:tcW w:w="1218" w:type="dxa"/>
          </w:tcPr>
          <w:p w:rsidR="00E275A3" w:rsidRDefault="00E275A3" w:rsidP="00DF38C6">
            <w:r>
              <w:t>2 – 5</w:t>
            </w:r>
          </w:p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2</w:t>
            </w:r>
          </w:p>
        </w:tc>
        <w:tc>
          <w:tcPr>
            <w:tcW w:w="4143" w:type="dxa"/>
          </w:tcPr>
          <w:p w:rsidR="00E275A3" w:rsidRDefault="00E275A3" w:rsidP="00DF38C6">
            <w:r>
              <w:t>Основные причины рвоты у детей раннего возраста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E275A3" w:rsidRDefault="00E275A3" w:rsidP="00DF38C6">
            <w:r>
              <w:t>75 – 82</w:t>
            </w:r>
          </w:p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2.1</w:t>
            </w:r>
          </w:p>
        </w:tc>
        <w:tc>
          <w:tcPr>
            <w:tcW w:w="4143" w:type="dxa"/>
          </w:tcPr>
          <w:p w:rsidR="00E275A3" w:rsidRDefault="00E275A3" w:rsidP="00DF38C6">
            <w:r>
              <w:t>Врожденная кишечная непроходимость как причина рвоты у новорожденных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2.2</w:t>
            </w:r>
          </w:p>
        </w:tc>
        <w:tc>
          <w:tcPr>
            <w:tcW w:w="4143" w:type="dxa"/>
          </w:tcPr>
          <w:p w:rsidR="00E275A3" w:rsidRDefault="00E275A3" w:rsidP="00DF38C6">
            <w:r>
              <w:t>Врожденный пилоростеноз – этиология, патогенез, клиника, диагностика и дифференциальная диагностика.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2.3</w:t>
            </w:r>
          </w:p>
        </w:tc>
        <w:tc>
          <w:tcPr>
            <w:tcW w:w="4143" w:type="dxa"/>
          </w:tcPr>
          <w:p w:rsidR="00E275A3" w:rsidRDefault="00E275A3" w:rsidP="00DF38C6">
            <w:r>
              <w:t xml:space="preserve">Понятие о желудочно-пищеводном рефлюксе. </w:t>
            </w:r>
            <w:proofErr w:type="spellStart"/>
            <w:r>
              <w:t>Антирефлюксный</w:t>
            </w:r>
            <w:proofErr w:type="spellEnd"/>
            <w:r>
              <w:t xml:space="preserve"> механизм, возможные причины его нарушения. </w:t>
            </w:r>
            <w:proofErr w:type="spellStart"/>
            <w:r>
              <w:t>Халазия</w:t>
            </w:r>
            <w:proofErr w:type="spellEnd"/>
            <w:r>
              <w:t xml:space="preserve"> пищевода, ГПОД. Дифференциальная диагностика.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2.4</w:t>
            </w:r>
          </w:p>
        </w:tc>
        <w:tc>
          <w:tcPr>
            <w:tcW w:w="4143" w:type="dxa"/>
          </w:tcPr>
          <w:p w:rsidR="00E275A3" w:rsidRDefault="00E275A3" w:rsidP="00DF38C6">
            <w:r>
              <w:t>Принципы лечения ГЭРБ.</w:t>
            </w:r>
          </w:p>
        </w:tc>
        <w:tc>
          <w:tcPr>
            <w:tcW w:w="3452" w:type="dxa"/>
          </w:tcPr>
          <w:p w:rsidR="00E275A3" w:rsidRDefault="00E275A3" w:rsidP="00DF38C6">
            <w:r>
              <w:t xml:space="preserve">объяснительно-иллюстративный 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3</w:t>
            </w:r>
          </w:p>
        </w:tc>
        <w:tc>
          <w:tcPr>
            <w:tcW w:w="4143" w:type="dxa"/>
          </w:tcPr>
          <w:p w:rsidR="00E275A3" w:rsidRDefault="00E275A3" w:rsidP="00DF38C6">
            <w:r>
              <w:t>Заключительная часть лекции</w:t>
            </w:r>
          </w:p>
        </w:tc>
        <w:tc>
          <w:tcPr>
            <w:tcW w:w="3452" w:type="dxa"/>
          </w:tcPr>
          <w:p w:rsidR="00E275A3" w:rsidRDefault="00E275A3" w:rsidP="00DF38C6">
            <w:r>
              <w:t>словесный</w:t>
            </w:r>
          </w:p>
        </w:tc>
        <w:tc>
          <w:tcPr>
            <w:tcW w:w="1218" w:type="dxa"/>
          </w:tcPr>
          <w:p w:rsidR="00E275A3" w:rsidRDefault="00E275A3" w:rsidP="00DF38C6">
            <w:r>
              <w:t>5</w:t>
            </w:r>
          </w:p>
        </w:tc>
      </w:tr>
      <w:tr w:rsidR="00E275A3" w:rsidTr="00DF38C6">
        <w:tc>
          <w:tcPr>
            <w:tcW w:w="757" w:type="dxa"/>
          </w:tcPr>
          <w:p w:rsidR="00E275A3" w:rsidRDefault="00E275A3" w:rsidP="00DF38C6">
            <w:r>
              <w:t>3.1</w:t>
            </w:r>
          </w:p>
        </w:tc>
        <w:tc>
          <w:tcPr>
            <w:tcW w:w="4143" w:type="dxa"/>
          </w:tcPr>
          <w:p w:rsidR="00E275A3" w:rsidRDefault="00E275A3" w:rsidP="00DF38C6">
            <w:r>
              <w:t>Обобщения, выводы по теме</w:t>
            </w:r>
          </w:p>
        </w:tc>
        <w:tc>
          <w:tcPr>
            <w:tcW w:w="3452" w:type="dxa"/>
          </w:tcPr>
          <w:p w:rsidR="00E275A3" w:rsidRDefault="00E275A3" w:rsidP="00DF38C6">
            <w:r>
              <w:t>словесный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rPr>
          <w:trHeight w:val="386"/>
        </w:trPr>
        <w:tc>
          <w:tcPr>
            <w:tcW w:w="757" w:type="dxa"/>
          </w:tcPr>
          <w:p w:rsidR="00E275A3" w:rsidRDefault="00E275A3" w:rsidP="00DF38C6">
            <w:r>
              <w:t>3.2</w:t>
            </w:r>
          </w:p>
        </w:tc>
        <w:tc>
          <w:tcPr>
            <w:tcW w:w="4143" w:type="dxa"/>
          </w:tcPr>
          <w:p w:rsidR="00E275A3" w:rsidRDefault="00E275A3" w:rsidP="00DF38C6">
            <w:r>
              <w:t>Ответы на вопросы</w:t>
            </w:r>
          </w:p>
        </w:tc>
        <w:tc>
          <w:tcPr>
            <w:tcW w:w="3452" w:type="dxa"/>
          </w:tcPr>
          <w:p w:rsidR="00E275A3" w:rsidRDefault="00E275A3" w:rsidP="00DF38C6">
            <w:r>
              <w:t>словесный</w:t>
            </w:r>
          </w:p>
        </w:tc>
        <w:tc>
          <w:tcPr>
            <w:tcW w:w="1218" w:type="dxa"/>
          </w:tcPr>
          <w:p w:rsidR="00E275A3" w:rsidRDefault="00E275A3" w:rsidP="00DF38C6"/>
        </w:tc>
      </w:tr>
      <w:tr w:rsidR="00E275A3" w:rsidTr="00DF38C6">
        <w:tc>
          <w:tcPr>
            <w:tcW w:w="8352" w:type="dxa"/>
            <w:gridSpan w:val="3"/>
          </w:tcPr>
          <w:p w:rsidR="00E275A3" w:rsidRDefault="00E275A3" w:rsidP="00DF38C6">
            <w:r>
              <w:t>Продолжительность лекции в академических часах</w:t>
            </w:r>
          </w:p>
        </w:tc>
        <w:tc>
          <w:tcPr>
            <w:tcW w:w="1218" w:type="dxa"/>
          </w:tcPr>
          <w:p w:rsidR="00E275A3" w:rsidRDefault="00E275A3" w:rsidP="00DF38C6">
            <w:r>
              <w:t>2 часа</w:t>
            </w:r>
          </w:p>
        </w:tc>
      </w:tr>
    </w:tbl>
    <w:p w:rsidR="00E275A3" w:rsidRDefault="00E275A3" w:rsidP="00E275A3"/>
    <w:p w:rsidR="00E275A3" w:rsidRDefault="00E275A3" w:rsidP="00E275A3">
      <w:r>
        <w:t xml:space="preserve">6. Методы, используемые на лекции: словесный, наглядный, дедуктивный, не имитационный (ситуации-иллюстрации), имитационный неигровой. </w:t>
      </w:r>
    </w:p>
    <w:p w:rsidR="00E275A3" w:rsidRDefault="00E275A3" w:rsidP="00E275A3">
      <w:r>
        <w:t xml:space="preserve">7. Средства обучения: </w:t>
      </w:r>
    </w:p>
    <w:p w:rsidR="00E275A3" w:rsidRDefault="00E275A3" w:rsidP="00E275A3">
      <w:pPr>
        <w:numPr>
          <w:ilvl w:val="0"/>
          <w:numId w:val="1"/>
        </w:numPr>
      </w:pPr>
      <w:r>
        <w:t xml:space="preserve">дидактические (мультимедийная презентация, включающая текст, таблицы, схемы, </w:t>
      </w:r>
    </w:p>
    <w:p w:rsidR="00E275A3" w:rsidRDefault="00E275A3" w:rsidP="00E275A3">
      <w:r>
        <w:t xml:space="preserve">графики, видеофайлы); </w:t>
      </w:r>
    </w:p>
    <w:p w:rsidR="00E275A3" w:rsidRDefault="00E275A3" w:rsidP="00E275A3">
      <w:pPr>
        <w:numPr>
          <w:ilvl w:val="0"/>
          <w:numId w:val="2"/>
        </w:numPr>
      </w:pPr>
      <w:r>
        <w:t>материально-технические (ноутбук, мультимедийный проектор, экран</w:t>
      </w:r>
    </w:p>
    <w:p w:rsidR="007365C0" w:rsidRDefault="007365C0">
      <w:bookmarkStart w:id="0" w:name="_GoBack"/>
      <w:bookmarkEnd w:id="0"/>
    </w:p>
    <w:sectPr w:rsidR="0073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599E"/>
    <w:multiLevelType w:val="hybridMultilevel"/>
    <w:tmpl w:val="0F103460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9C1692"/>
    <w:multiLevelType w:val="hybridMultilevel"/>
    <w:tmpl w:val="D6B8D202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D1"/>
    <w:rsid w:val="007365C0"/>
    <w:rsid w:val="008E5AD1"/>
    <w:rsid w:val="00E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342B-7B26-4998-8FAA-7888A9E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75A3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275A3"/>
    <w:rPr>
      <w:rFonts w:ascii="Arial Narrow" w:eastAsia="Calibri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2016-01-20T14:47:00Z</dcterms:created>
  <dcterms:modified xsi:type="dcterms:W3CDTF">2016-01-20T14:47:00Z</dcterms:modified>
</cp:coreProperties>
</file>