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Федеральное государственное бюджетное образовательное учреждение</w:t>
      </w:r>
    </w:p>
    <w:p>
      <w:pPr>
        <w:pStyle w:val="style1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высшего образования</w:t>
      </w:r>
    </w:p>
    <w:p>
      <w:pPr>
        <w:pStyle w:val="style1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«Оренбургский государственный медицинский университет»</w:t>
      </w:r>
    </w:p>
    <w:p>
      <w:pPr>
        <w:pStyle w:val="style1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здравоохранения Российской Федерации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НЕВРОЛОГИЯ</w:t>
      </w:r>
    </w:p>
    <w:p>
      <w:pPr>
        <w:pStyle w:val="style0"/>
        <w:jc w:val="center"/>
        <w:rPr>
          <w:rFonts w:ascii="Times New Roman" w:hAnsi="Times New Roman"/>
          <w:sz w:val="28"/>
        </w:rPr>
      </w:pP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направлению подготовки (специальности) </w:t>
      </w: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31.08.4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Детская неврология</w:t>
      </w:r>
    </w:p>
    <w:p>
      <w:pPr>
        <w:pStyle w:val="style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i/>
          <w:color w:val="000000"/>
        </w:rPr>
        <w:t>31.08.4</w:t>
      </w:r>
      <w:r>
        <w:rPr>
          <w:rFonts w:ascii="Times New Roman" w:hAnsi="Times New Roman"/>
          <w:i/>
          <w:color w:val="000000"/>
        </w:rPr>
        <w:t>2</w:t>
      </w:r>
      <w:r>
        <w:rPr>
          <w:rFonts w:ascii="Times New Roman" w:hAnsi="Times New Roman"/>
          <w:i/>
          <w:color w:val="000000"/>
        </w:rPr>
        <w:t xml:space="preserve"> Детская неврология, </w:t>
      </w:r>
      <w:r>
        <w:rPr>
          <w:rFonts w:ascii="Times New Roman" w:hAnsi="Times New Roman"/>
          <w:color w:val="000000"/>
        </w:rPr>
        <w:t>утвержденной ученым советом ФГБОУ ВО ОрГМУ Минздрава России</w:t>
      </w:r>
    </w:p>
    <w:p>
      <w:pPr>
        <w:pStyle w:val="style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протокол № 11  от «22» июня 2018</w:t>
      </w:r>
    </w:p>
    <w:p>
      <w:pPr>
        <w:pStyle w:val="style0"/>
        <w:jc w:val="center"/>
        <w:rPr>
          <w:rFonts w:ascii="Times New Roman" w:hAnsi="Times New Roman"/>
          <w:sz w:val="28"/>
        </w:rPr>
      </w:pP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Оренбург</w:t>
      </w:r>
    </w:p>
    <w:p>
      <w:pPr>
        <w:pStyle w:val="style0"/>
        <w:rPr>
          <w:rFonts w:ascii="Times New Roman" w:hAnsi="Times New Roman"/>
          <w:b/>
          <w:color w:val="000000"/>
          <w:sz w:val="32"/>
          <w:szCs w:val="28"/>
        </w:rPr>
      </w:pPr>
      <w:r>
        <w:rPr>
          <w:rFonts w:ascii="Times New Roman" w:hAnsi="Times New Roman"/>
          <w:b/>
          <w:color w:val="000000"/>
          <w:sz w:val="32"/>
          <w:szCs w:val="28"/>
        </w:rPr>
        <w:br w:type="page"/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b/>
          <w:color w:val="000000"/>
          <w:sz w:val="32"/>
          <w:szCs w:val="28"/>
        </w:rPr>
        <w:t>1. Методические рекомендации к лекционному курсу</w:t>
      </w:r>
    </w:p>
    <w:p>
      <w:pPr>
        <w:pStyle w:val="style0"/>
        <w:spacing w:after="0" w:lineRule="auto" w:line="240"/>
        <w:ind w:firstLine="709"/>
        <w:jc w:val="both"/>
        <w:rPr/>
      </w:pPr>
    </w:p>
    <w:p>
      <w:pPr>
        <w:pStyle w:val="style0"/>
        <w:spacing w:after="0" w:lineRule="auto" w:line="240"/>
        <w:ind w:firstLine="709"/>
        <w:jc w:val="both"/>
        <w:rPr/>
      </w:pPr>
    </w:p>
    <w:p>
      <w:pPr>
        <w:pStyle w:val="style0"/>
        <w:spacing w:after="0" w:lineRule="auto" w:line="240"/>
        <w:ind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>
      <w:pPr>
        <w:pStyle w:val="style0"/>
        <w:spacing w:after="0" w:lineRule="auto" w:line="24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Анатомо-физиологическое введение в детскую неврологию.  Нервно-психическое развитие ребенка в различные периоды  жизни. Особенности исследования детей грудного возраста.</w:t>
      </w:r>
    </w:p>
    <w:p>
      <w:pPr>
        <w:pStyle w:val="style15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cs="Times New Roman" w:hAnsi="Times New Roman"/>
          <w:color w:val="000000"/>
          <w:sz w:val="28"/>
          <w:szCs w:val="28"/>
        </w:rPr>
        <w:t>изучить особенности методики неврологического осмотра детей в различные возрастные периоды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с учетом анатомо-физиологических особенностей развития нервной системы</w:t>
      </w:r>
      <w:r>
        <w:rPr>
          <w:rFonts w:ascii="Times New Roman" w:cs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cs="Times New Roman" w:hAnsi="Times New Roman"/>
          <w:color w:val="000000"/>
          <w:sz w:val="28"/>
          <w:szCs w:val="28"/>
        </w:rPr>
        <w:t>Периоды детского возраста.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Морфологические и нейрохимические аспекты онтогенеза нервной системы. Динамика двигательной функции  на ранних этапах постнатального онтогенеза. Развитие мышечного тонуса, локомоция. Эволюция рефлексов новорожденных. Развитие чувствительности. Концепция возрастных кризов П.П.Блонского - Л. С.  Выготского. Оценка неврологического статуса ребенка первого года жизни. Оценочные шкалы. Шкала Гриффитс. Этапы формирования крупной моторики у детей. Возрастные аспекты развития речевых функций и социально-бытового ориентирования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(основные слайды лекции представлены в Приложении в электронном варианте УМКС)</w:t>
      </w:r>
      <w:r>
        <w:rPr>
          <w:rFonts w:ascii="Times New Roman" w:cs="Times New Roman" w:hAnsi="Times New Roman"/>
          <w:color w:val="000000"/>
          <w:sz w:val="28"/>
          <w:szCs w:val="28"/>
        </w:rPr>
        <w:t>.</w:t>
      </w:r>
    </w:p>
    <w:p>
      <w:pPr>
        <w:pStyle w:val="style0"/>
        <w:ind w:firstLine="708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смешанная (традиционная, обзорная, проблемная) лекция-визуализация.</w:t>
      </w:r>
    </w:p>
    <w:p>
      <w:pPr>
        <w:pStyle w:val="style0"/>
        <w:ind w:firstLine="709"/>
        <w:jc w:val="both"/>
        <w:rPr/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словесный, наглядный, дедуктивный,</w:t>
      </w:r>
      <w:bookmarkStart w:id="0" w:name="_GoBack"/>
      <w:bookmarkEnd w:id="0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неимитационный (ситуации-иллюстрации), имитационный неигровой.</w:t>
      </w:r>
    </w:p>
    <w:p>
      <w:pPr>
        <w:pStyle w:val="style0"/>
        <w:spacing w:after="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pStyle w:val="style0"/>
        <w:spacing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дидактические: мультимедийная презентация, включающая текст, таблицы, схемы, графики,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рисунки, фотографии, видеофайлы.</w:t>
      </w:r>
    </w:p>
    <w:p>
      <w:pPr>
        <w:pStyle w:val="style0"/>
        <w:spacing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(ноутбук, мультимедийный проектор, экран, дистанционный презентер).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rPr>
          <w:rFonts w:ascii="Times New Roman" w:hAnsi="Times New Roman"/>
          <w:b/>
          <w:color w:val="000000"/>
          <w:sz w:val="32"/>
          <w:szCs w:val="28"/>
        </w:rPr>
      </w:pPr>
      <w:r>
        <w:rPr>
          <w:rFonts w:ascii="Times New Roman" w:hAnsi="Times New Roman"/>
          <w:b/>
          <w:color w:val="000000"/>
          <w:sz w:val="32"/>
          <w:szCs w:val="28"/>
        </w:rPr>
        <w:br w:type="page"/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b/>
          <w:color w:val="000000"/>
          <w:sz w:val="32"/>
          <w:szCs w:val="28"/>
        </w:rPr>
        <w:t>2. Методические рекомендации по проведению практических занятий.</w:t>
      </w:r>
    </w:p>
    <w:p>
      <w:pPr>
        <w:pStyle w:val="style0"/>
        <w:spacing w:after="0" w:lineRule="auto" w:line="240"/>
        <w:rPr/>
      </w:pPr>
    </w:p>
    <w:p>
      <w:pPr>
        <w:pStyle w:val="style0"/>
        <w:suppressAutoHyphens/>
        <w:spacing w:after="0" w:lineRule="auto" w:line="240"/>
        <w:ind w:left="709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Анатомо-физиологическое введение в детскую неврологию.  Нервно-психическое развитие ребенка в различные периоды  жизни. Особенности исследования детей грудного возраста.</w:t>
      </w:r>
    </w:p>
    <w:p>
      <w:pPr>
        <w:pStyle w:val="style0"/>
        <w:ind w:firstLine="709"/>
        <w:jc w:val="both"/>
        <w:rPr>
          <w:rFonts w:ascii="Times New Roman" w:hAnsi="Times New Roman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систематизация знаний и умений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неврологического осмотра у детей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в различные возрастные периоды</w:t>
      </w:r>
      <w:r>
        <w:rPr>
          <w:rFonts w:ascii="Times New Roman" w:cs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9110"/>
      </w:tblGrid>
      <w:tr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>
            <w:pPr>
              <w:pStyle w:val="style1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>
        <w:tblPrEx/>
        <w:trPr>
          <w:trHeight w:val="941" w:hRule="atLeast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>
            <w:pPr>
              <w:pStyle w:val="style157"/>
              <w:ind w:left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>
            <w:pPr>
              <w:pStyle w:val="style157"/>
              <w:ind w:left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Вопросы для рассмотрения: </w:t>
            </w:r>
          </w:p>
          <w:p>
            <w:pPr>
              <w:pStyle w:val="style179"/>
              <w:widowControl w:val="false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Периоды детского возраста.</w:t>
            </w:r>
          </w:p>
          <w:p>
            <w:pPr>
              <w:pStyle w:val="style179"/>
              <w:widowControl w:val="false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Морфологические аспекты онтогенеза нервной системы. </w:t>
            </w:r>
          </w:p>
          <w:p>
            <w:pPr>
              <w:pStyle w:val="style179"/>
              <w:widowControl w:val="false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Биомеханика двигательного развития ребенка первого года жизни.</w:t>
            </w:r>
          </w:p>
          <w:p>
            <w:pPr>
              <w:pStyle w:val="style179"/>
              <w:widowControl w:val="false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Нейрохимические аспекты онтогенеза нервной системы. </w:t>
            </w:r>
          </w:p>
          <w:p>
            <w:pPr>
              <w:pStyle w:val="style179"/>
              <w:widowControl w:val="false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чувствительности.</w:t>
            </w:r>
          </w:p>
          <w:p>
            <w:pPr>
              <w:pStyle w:val="style179"/>
              <w:widowControl w:val="false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Концепция возрастных кризов.</w:t>
            </w:r>
          </w:p>
          <w:p>
            <w:pPr>
              <w:pStyle w:val="style179"/>
              <w:widowControl w:val="false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Оценка неврологического статуса ребенка первого года жизни. Оценочные шкалы. Шкала Гриффитс. </w:t>
            </w:r>
          </w:p>
          <w:p>
            <w:pPr>
              <w:pStyle w:val="style179"/>
              <w:widowControl w:val="false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Моторное и психоречевое развитие  3-х летнего ребенка.</w:t>
            </w:r>
          </w:p>
          <w:p>
            <w:pPr>
              <w:pStyle w:val="style179"/>
              <w:widowControl w:val="false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Моторное и психоречевое развитие  5 летнего ребенка.</w:t>
            </w:r>
          </w:p>
          <w:p>
            <w:pPr>
              <w:pStyle w:val="style179"/>
              <w:widowControl w:val="false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Моторное и психоречевое развитие  годовалого ребенка.</w:t>
            </w:r>
          </w:p>
          <w:p>
            <w:pPr>
              <w:pStyle w:val="style179"/>
              <w:widowControl w:val="false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Моторное и психоречевое развитие  7 летнего ребенка.</w:t>
            </w:r>
          </w:p>
          <w:p>
            <w:pPr>
              <w:pStyle w:val="style157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pStyle w:val="style157"/>
              <w:ind w:left="70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Защита реферата:</w:t>
            </w:r>
          </w:p>
          <w:p>
            <w:pPr>
              <w:pStyle w:val="style1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Особенности исследования детей грудного возраста. Оценочные шкалы.</w:t>
            </w:r>
          </w:p>
          <w:p>
            <w:pPr>
              <w:pStyle w:val="style1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Нервно-психическое развитие ребенка первых 3-х лет жизни.</w:t>
            </w:r>
          </w:p>
          <w:p>
            <w:pPr>
              <w:pStyle w:val="style1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Нервно-психическое развитие ребенка в дошкольном и школьном периодах.</w:t>
            </w:r>
          </w:p>
          <w:p>
            <w:pPr>
              <w:pStyle w:val="style157"/>
              <w:ind w:left="708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pStyle w:val="style157"/>
              <w:ind w:left="7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Отработка практических умений и навыков: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решение ситуационных задач;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выделения основных симптомов (синдромов);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постановка топического и нозологического диагноза;</w:t>
            </w:r>
          </w:p>
          <w:p>
            <w:pPr>
              <w:pStyle w:val="style157"/>
              <w:rPr>
                <w:rFonts w:ascii="Times New Roman" w:hAnsi="Times New Roman"/>
                <w:sz w:val="28"/>
                <w:highlight w:val="green"/>
              </w:rPr>
            </w:pPr>
            <w:r>
              <w:rPr>
                <w:rFonts w:ascii="Times New Roman" w:hAnsi="Times New Roman"/>
                <w:sz w:val="28"/>
              </w:rPr>
              <w:t xml:space="preserve">- назначить методы </w:t>
            </w:r>
            <w:r>
              <w:rPr>
                <w:rFonts w:ascii="Times New Roman" w:hAnsi="Times New Roman"/>
                <w:sz w:val="28"/>
              </w:rPr>
              <w:t>лечения на догоспитальном этапе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Заключительная часть занятия: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подведение итогов занятия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выставление текущих оценок в учебный журнал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задание для самостоятельной подготовки обучающихся</w:t>
            </w:r>
          </w:p>
        </w:tc>
      </w:tr>
    </w:tbl>
    <w:p>
      <w:pPr>
        <w:pStyle w:val="style0"/>
        <w:spacing w:after="0" w:lineRule="auto" w:line="240"/>
        <w:jc w:val="both"/>
        <w:rPr/>
      </w:pP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ЖК монитор, учебная доска, мел).</w:t>
      </w:r>
    </w:p>
    <w:p>
      <w:pPr>
        <w:pStyle w:val="style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Тема 2.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Врожденные пороки центральной нервной системы. Детский церебральный паралич.</w:t>
      </w:r>
    </w:p>
    <w:p>
      <w:pPr>
        <w:pStyle w:val="style0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 xml:space="preserve">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систематизация  знаний по диагностике и лечению</w:t>
      </w:r>
      <w:r>
        <w:rPr>
          <w:rFonts w:ascii="Times New Roman" w:hAnsi="Times New Roman"/>
          <w:color w:val="000000"/>
          <w:sz w:val="28"/>
          <w:szCs w:val="28"/>
        </w:rPr>
        <w:t xml:space="preserve"> детского церебрального паралича и пороков развития головного и спинного мозга</w:t>
      </w:r>
      <w:r>
        <w:rPr>
          <w:rFonts w:ascii="Times New Roman" w:hAnsi="Times New Roman"/>
          <w:color w:val="000000"/>
          <w:sz w:val="28"/>
          <w:szCs w:val="28"/>
        </w:rPr>
        <w:t xml:space="preserve">, формирование практических умений и навыков по дифференциальной диагностике и тактике ведения </w:t>
      </w:r>
      <w:r>
        <w:rPr>
          <w:rFonts w:ascii="Times New Roman" w:hAnsi="Times New Roman"/>
          <w:color w:val="000000"/>
          <w:sz w:val="28"/>
          <w:szCs w:val="28"/>
        </w:rPr>
        <w:t>детей с детским церебральным параличом и пороками развития нервной системы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9110"/>
      </w:tblGrid>
      <w:tr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>
            <w:pPr>
              <w:pStyle w:val="style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>
        <w:tblPrEx/>
        <w:trPr>
          <w:trHeight w:val="941" w:hRule="atLeast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Закрепление теоретического материала.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>
            <w:pPr>
              <w:pStyle w:val="style1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Распространенность и причины возникновения врожденных пороков ЦНС.</w:t>
            </w:r>
          </w:p>
          <w:p>
            <w:pPr>
              <w:pStyle w:val="style1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Врожденные пороки развития конечного мозга.</w:t>
            </w:r>
          </w:p>
          <w:p>
            <w:pPr>
              <w:pStyle w:val="style1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Вопросы клиники и диагностики  пороков развития мозжечка.</w:t>
            </w:r>
          </w:p>
          <w:p>
            <w:pPr>
              <w:pStyle w:val="style1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Вопросы киники и диагностики пороков развития спинного мозга.</w:t>
            </w:r>
          </w:p>
          <w:p>
            <w:pPr>
              <w:pStyle w:val="style1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Пороки развития обонятельного анализатора.</w:t>
            </w:r>
          </w:p>
          <w:p>
            <w:pPr>
              <w:pStyle w:val="style1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Факторы риска развития ДЦП</w:t>
            </w:r>
          </w:p>
          <w:p>
            <w:pPr>
              <w:pStyle w:val="style1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изучения ДЦП</w:t>
            </w:r>
          </w:p>
          <w:p>
            <w:pPr>
              <w:pStyle w:val="style1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детского церебрального паралича.</w:t>
            </w:r>
          </w:p>
          <w:p>
            <w:pPr>
              <w:pStyle w:val="style1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форм  ДЦП.</w:t>
            </w:r>
          </w:p>
          <w:p>
            <w:pPr>
              <w:pStyle w:val="style1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 ДЦП.</w:t>
            </w:r>
          </w:p>
          <w:p>
            <w:pPr>
              <w:pStyle w:val="style1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Лечение и прогноз ДЦП.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Защита реферата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>
            <w:pPr>
              <w:pStyle w:val="style66"/>
              <w:shd w:val="clear" w:color="auto" w:fill="auto"/>
              <w:tabs>
                <w:tab w:val="left" w:leader="none" w:pos="1110"/>
              </w:tabs>
              <w:spacing w:after="0" w:lineRule="exact" w:line="230"/>
              <w:ind w:right="100" w:firstLine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1.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Вопросы клиники и лечения  Детского церебрального паралича.</w:t>
            </w:r>
          </w:p>
          <w:p>
            <w:pPr>
              <w:pStyle w:val="style1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2.Врожденные пороки развития мозжечка</w:t>
            </w:r>
          </w:p>
          <w:p>
            <w:pPr>
              <w:pStyle w:val="style1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Врожденные пороки развития спинного мозга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диагноза.</w:t>
            </w:r>
          </w:p>
          <w:p>
            <w:pPr>
              <w:pStyle w:val="style157"/>
              <w:ind w:left="7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Отработка практических умений и навыков: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решение ситуационных задач;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выделения основных симптомов (синдромов);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постановка топического и нозологического диагноза;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назначить методы </w:t>
            </w:r>
            <w:r>
              <w:rPr>
                <w:rFonts w:ascii="Times New Roman" w:hAnsi="Times New Roman"/>
                <w:sz w:val="28"/>
              </w:rPr>
              <w:t>лечения на догоспитальном этапе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подведение итогов занятия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задание для самостоятельной подготовки обучающихся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>
      <w:pPr>
        <w:pStyle w:val="style0"/>
        <w:spacing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ЖК монитор, учебная доска, мел).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Перинатальные поражения нервной системы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green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систематизация  знаний по диагностике и лечению</w:t>
      </w:r>
      <w:r>
        <w:rPr>
          <w:rFonts w:ascii="Times New Roman" w:hAnsi="Times New Roman"/>
          <w:color w:val="000000"/>
          <w:sz w:val="28"/>
          <w:szCs w:val="28"/>
        </w:rPr>
        <w:t xml:space="preserve"> перинатальных поражений нервной системы</w:t>
      </w:r>
      <w:r>
        <w:rPr>
          <w:rFonts w:ascii="Times New Roman" w:hAnsi="Times New Roman"/>
          <w:color w:val="000000"/>
          <w:sz w:val="28"/>
          <w:szCs w:val="28"/>
        </w:rPr>
        <w:t>, формирование практических умений и навыков по дифференциальной диагностике и тактике ведения пациентов с</w:t>
      </w:r>
      <w:r>
        <w:rPr>
          <w:rFonts w:ascii="Times New Roman" w:hAnsi="Times New Roman"/>
          <w:color w:val="000000"/>
          <w:sz w:val="28"/>
          <w:szCs w:val="28"/>
        </w:rPr>
        <w:t xml:space="preserve"> перинатальными поражениями ЦНС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Закрепление теоретического материала.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 Классификация перинатальных поражений нервной системы у новорожденных.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 Гипоксическое поражение центральной нервной системы, патогенез.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 Травматические повреждения нервной системы.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 Дисметаболические и токсико-метаболические нарушения функций ЦНС.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5. Поражения ЦНС при инфекционных заболеваниях перинатального периода.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Синдромы восстановительного периода последствий перинатального поражения ЦНС.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7.Методы диагностики перинатальных  поражений ЦНС.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8. Лечение перинатальных поражений ЦНС.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Защита реферата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>
            <w:pPr>
              <w:pStyle w:val="style1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Родовая травма ЦНС</w:t>
            </w:r>
          </w:p>
          <w:p>
            <w:pPr>
              <w:pStyle w:val="style1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Перивентрикулярная лейкомаляция, патогенез, клиника.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Дисметаболические и токсико-метаболические нарушения функций ЦНС.</w:t>
            </w:r>
          </w:p>
          <w:p>
            <w:pPr>
              <w:pStyle w:val="style1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диагноза.</w:t>
            </w:r>
          </w:p>
          <w:p>
            <w:pPr>
              <w:pStyle w:val="style157"/>
              <w:ind w:left="7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Отработка практических умений и навыков: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решение ситуационных задач;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выделения основных симптомов (синдромов);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постановка топического и нозологического диагноза;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- назначить методы </w:t>
            </w:r>
            <w:r>
              <w:rPr>
                <w:rFonts w:ascii="Times New Roman" w:hAnsi="Times New Roman"/>
                <w:sz w:val="28"/>
              </w:rPr>
              <w:t>лечения на догоспитальном этапе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-подведение итогов занятия;</w:t>
            </w:r>
          </w:p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-выставление текущих оценок в учебный журнал;</w:t>
            </w:r>
          </w:p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-задание для самостоятельной подготовки обучающихся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ЖК монитор, учебная доска, мел).</w:t>
      </w:r>
    </w:p>
    <w:p>
      <w:pPr>
        <w:pStyle w:val="style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Специфические расстройства речи в детском возрасте. Заикание.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i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green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систематизация  знаний по диагностике и лечению</w:t>
      </w:r>
      <w:r>
        <w:rPr>
          <w:rFonts w:ascii="Times New Roman" w:hAnsi="Times New Roman"/>
          <w:color w:val="000000"/>
          <w:sz w:val="28"/>
          <w:szCs w:val="28"/>
        </w:rPr>
        <w:t xml:space="preserve"> специфических расстройств речи у детей</w:t>
      </w:r>
      <w:r>
        <w:rPr>
          <w:rFonts w:ascii="Times New Roman" w:hAnsi="Times New Roman"/>
          <w:color w:val="000000"/>
          <w:sz w:val="28"/>
          <w:szCs w:val="28"/>
        </w:rPr>
        <w:t>, формирование практических умений и навыков по дифференциальной диагностике и тактике ведения пациентов с</w:t>
      </w:r>
      <w:r>
        <w:rPr>
          <w:rFonts w:ascii="Times New Roman" w:hAnsi="Times New Roman"/>
          <w:color w:val="000000"/>
          <w:sz w:val="28"/>
          <w:szCs w:val="28"/>
        </w:rPr>
        <w:t xml:space="preserve"> заиканием.</w:t>
      </w:r>
    </w:p>
    <w:p>
      <w:pPr>
        <w:pStyle w:val="style0"/>
        <w:spacing w:after="0" w:lineRule="auto" w:line="2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Закрепление теоретического материала.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>
            <w:pPr>
              <w:pStyle w:val="style1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Функция речи. Факторы риска  речевых расстройств.</w:t>
            </w:r>
          </w:p>
          <w:p>
            <w:pPr>
              <w:pStyle w:val="style1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Классификация  Л.О. Бадаляна по патогенетическому признаку.</w:t>
            </w:r>
          </w:p>
          <w:p>
            <w:pPr>
              <w:pStyle w:val="style1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Клинико-педагогическая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классификация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(Волкова Л.С.); психолого-педагогическая классификация</w:t>
            </w:r>
          </w:p>
          <w:p>
            <w:pPr>
              <w:pStyle w:val="style1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МКБ 10</w:t>
            </w:r>
          </w:p>
          <w:p>
            <w:pPr>
              <w:pStyle w:val="style1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Диагностика речевых расстройств.</w:t>
            </w:r>
          </w:p>
          <w:p>
            <w:pPr>
              <w:pStyle w:val="style1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Формы заикания, клиническая характеристика и дифференциальная диагностика.</w:t>
            </w:r>
          </w:p>
          <w:p>
            <w:pPr>
              <w:pStyle w:val="style1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Течения заикания.</w:t>
            </w:r>
          </w:p>
          <w:p>
            <w:pPr>
              <w:pStyle w:val="style1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/>
                <w:sz w:val="28"/>
                <w:szCs w:val="28"/>
              </w:rPr>
              <w:t>Лечение заикания.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Защита реферата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>
            <w:pPr>
              <w:pStyle w:val="style15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Специфическое расстройство артикуляции</w:t>
            </w:r>
          </w:p>
          <w:p>
            <w:pPr>
              <w:pStyle w:val="style15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Неврозоподобное заикание, эпидемиология, патогенез, клиника.</w:t>
            </w:r>
          </w:p>
          <w:p>
            <w:pPr>
              <w:pStyle w:val="style15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речевых расстройств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диагноза.</w:t>
            </w:r>
          </w:p>
          <w:p>
            <w:pPr>
              <w:pStyle w:val="style157"/>
              <w:ind w:left="7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Отработка практических умений и навыков: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решение ситуационных задач;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выделения основных симптомов (синдромов);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постановка топического и нозологического диагноза;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- назначить методы </w:t>
            </w:r>
            <w:r>
              <w:rPr>
                <w:rFonts w:ascii="Times New Roman" w:hAnsi="Times New Roman"/>
                <w:sz w:val="28"/>
              </w:rPr>
              <w:t>лечения на догоспитальном этапе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-подведение итогов занятия;</w:t>
            </w:r>
          </w:p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-выставление текущих оценок в учебный журнал;</w:t>
            </w:r>
          </w:p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-задание для самостоятельной подготовки обучающихся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ЖК монитор, учебная доска, мел).</w:t>
      </w:r>
    </w:p>
    <w:p>
      <w:pPr>
        <w:pStyle w:val="style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15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Синдром мышечной гипотонии у детей.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i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green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систематизация  знаний по диагностике и лечению</w:t>
      </w:r>
      <w:r>
        <w:rPr>
          <w:rFonts w:ascii="Times New Roman" w:hAnsi="Times New Roman"/>
          <w:color w:val="000000"/>
          <w:sz w:val="28"/>
          <w:szCs w:val="28"/>
        </w:rPr>
        <w:t xml:space="preserve"> синдрома мышечной гипотонии у детей</w:t>
      </w:r>
      <w:r>
        <w:rPr>
          <w:rFonts w:ascii="Times New Roman" w:hAnsi="Times New Roman"/>
          <w:color w:val="000000"/>
          <w:sz w:val="28"/>
          <w:szCs w:val="28"/>
        </w:rPr>
        <w:t>, формирование практических умений и навыков по дифференциальной диагностике и тактике ведения пациентов с</w:t>
      </w:r>
      <w:r>
        <w:rPr>
          <w:rFonts w:ascii="Times New Roman" w:hAnsi="Times New Roman"/>
          <w:color w:val="000000"/>
          <w:sz w:val="28"/>
          <w:szCs w:val="28"/>
        </w:rPr>
        <w:t xml:space="preserve"> нервно-мышечной патологией.</w:t>
      </w:r>
    </w:p>
    <w:p>
      <w:pPr>
        <w:pStyle w:val="style0"/>
        <w:spacing w:after="0" w:lineRule="auto" w:line="2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Закрепление теоретического материала.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>
            <w:pPr>
              <w:pStyle w:val="style1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1.Синдром мышечной гипотонии центрального  уровня.</w:t>
            </w:r>
          </w:p>
          <w:p>
            <w:pPr>
              <w:pStyle w:val="style1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Синдром мышечной гипотонии периферического  уровня.</w:t>
            </w:r>
          </w:p>
          <w:p>
            <w:pPr>
              <w:pStyle w:val="style1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Пробы на мышечную гипотонию.</w:t>
            </w:r>
          </w:p>
          <w:p>
            <w:pPr>
              <w:pStyle w:val="style1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Спинальные мышечные атрофии.</w:t>
            </w:r>
          </w:p>
          <w:p>
            <w:pPr>
              <w:pStyle w:val="style1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Врожденные структурные миопатии.</w:t>
            </w:r>
          </w:p>
          <w:p>
            <w:pPr>
              <w:pStyle w:val="style1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Врожденные мышечные дистрофии.</w:t>
            </w:r>
          </w:p>
          <w:p>
            <w:pPr>
              <w:pStyle w:val="style1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Метаболические миопатии с младенческим дебютом</w:t>
            </w:r>
          </w:p>
          <w:p>
            <w:pPr>
              <w:pStyle w:val="style1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 Прогрессирующие мышечные дистрофии.</w:t>
            </w:r>
          </w:p>
          <w:p>
            <w:pPr>
              <w:pStyle w:val="style1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 Диагностика синдрома мышечной гипотонии у детей</w:t>
            </w:r>
          </w:p>
          <w:p>
            <w:pPr>
              <w:pStyle w:val="style1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 Лечение синдрома мышечной гипотонии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Защита реферата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>
            <w:pPr>
              <w:pStyle w:val="style15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Врожденные структурные миопатии.</w:t>
            </w:r>
          </w:p>
          <w:p>
            <w:pPr>
              <w:pStyle w:val="style15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Метаболические миопатии с младенческим дебютом</w:t>
            </w:r>
          </w:p>
          <w:p>
            <w:pPr>
              <w:pStyle w:val="style15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Спинальные мышечные атрофии.</w:t>
            </w:r>
          </w:p>
          <w:p>
            <w:pPr>
              <w:pStyle w:val="style157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диагноза.</w:t>
            </w:r>
          </w:p>
          <w:p>
            <w:pPr>
              <w:pStyle w:val="style157"/>
              <w:ind w:left="7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Отработка практических умений и навыков: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решение ситуационных задач;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выделения основных симптомов (синдромов);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постановка топического и нозологического диагноза;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- назначить методы </w:t>
            </w:r>
            <w:r>
              <w:rPr>
                <w:rFonts w:ascii="Times New Roman" w:hAnsi="Times New Roman"/>
                <w:sz w:val="28"/>
              </w:rPr>
              <w:t>лечения на догоспитальном этапе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-подведение итогов занятия;</w:t>
            </w:r>
          </w:p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-выставление текущих оценок в учебный журнал;</w:t>
            </w:r>
          </w:p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-задание для самостоятельной подготовки обучающихся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ЖК монитор, учебная доска, мел).</w:t>
      </w:r>
    </w:p>
    <w:p>
      <w:pPr>
        <w:pStyle w:val="style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pStyle w:val="style0"/>
        <w:rPr/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pStyle w:val="style0"/>
        <w:rPr/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pStyle w:val="style0"/>
        <w:rPr/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pStyle w:val="style0"/>
        <w:rPr/>
      </w:pPr>
    </w:p>
    <w:sectPr>
      <w:footerReference w:type="default" r:id="rId2"/>
      <w:pgSz w:w="11906" w:h="16838" w:orient="portrait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000010101"/>
    <w:charset w:val="81"/>
    <w:family w:val="auto"/>
    <w:pitch w:val="fixed"/>
    <w:sig w:usb0="00000001" w:usb1="09060000" w:usb2="00000010" w:usb3="00000000" w:csb0="00080000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9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384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5384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5384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0A8487A"/>
    <w:lvl w:ilvl="0" w:tplc="CC3EDE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ascii="Calibri" w:cs="Times New Roman" w:eastAsia="Calibri" w:hAnsi="Calibri"/>
      <w:lang w:eastAsia="en-US"/>
    </w:rPr>
  </w:style>
  <w:style w:type="paragraph" w:styleId="style32">
    <w:name w:val="footer"/>
    <w:basedOn w:val="style0"/>
    <w:next w:val="style32"/>
    <w:link w:val="style4097"/>
    <w:pPr>
      <w:tabs>
        <w:tab w:val="center" w:leader="none" w:pos="4677"/>
        <w:tab w:val="right" w:leader="none" w:pos="9355"/>
      </w:tabs>
      <w:spacing w:after="0" w:lineRule="auto" w:line="240"/>
    </w:pPr>
    <w:rPr>
      <w:rFonts w:ascii="Calibri" w:cs="Times New Roman" w:eastAsia="Times New Roman" w:hAnsi="Calibri"/>
    </w:rPr>
  </w:style>
  <w:style w:type="character" w:customStyle="1" w:styleId="style4097">
    <w:name w:val="Нижний колонтитул Знак"/>
    <w:basedOn w:val="style65"/>
    <w:next w:val="style4097"/>
    <w:link w:val="style32"/>
    <w:rPr>
      <w:rFonts w:ascii="Calibri" w:cs="Times New Roman" w:eastAsia="Times New Roman" w:hAnsi="Calibri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Times New Roman" w:hAnsi="Calibri"/>
    </w:rPr>
  </w:style>
  <w:style w:type="character" w:customStyle="1" w:styleId="style4098">
    <w:name w:val="Основной текст Знак1"/>
    <w:basedOn w:val="style65"/>
    <w:next w:val="style4098"/>
    <w:link w:val="style66"/>
    <w:uiPriority w:val="99"/>
    <w:rPr>
      <w:rFonts w:ascii="Batang" w:cs="Batang" w:eastAsia="Batang"/>
      <w:sz w:val="18"/>
      <w:szCs w:val="18"/>
      <w:shd w:val="clear" w:color="auto" w:fill="ffffff"/>
    </w:rPr>
  </w:style>
  <w:style w:type="paragraph" w:styleId="style66">
    <w:name w:val="Body Text"/>
    <w:basedOn w:val="style0"/>
    <w:next w:val="style66"/>
    <w:link w:val="style4098"/>
    <w:uiPriority w:val="99"/>
    <w:pPr>
      <w:shd w:val="clear" w:color="auto" w:fill="ffffff"/>
      <w:spacing w:after="180" w:lineRule="atLeast" w:line="240"/>
      <w:ind w:firstLine="240"/>
    </w:pPr>
    <w:rPr>
      <w:rFonts w:ascii="Batang" w:cs="Batang" w:eastAsia="Batang"/>
      <w:sz w:val="18"/>
      <w:szCs w:val="18"/>
    </w:rPr>
  </w:style>
  <w:style w:type="character" w:customStyle="1" w:styleId="style4099">
    <w:name w:val="Основной текст Знак"/>
    <w:basedOn w:val="style65"/>
    <w:next w:val="style4099"/>
    <w:link w:val="style66"/>
    <w:uiPriority w:val="99"/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Текст выноски Знак"/>
    <w:basedOn w:val="style65"/>
    <w:next w:val="style4100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1449</Words>
  <Pages>9</Pages>
  <Characters>11335</Characters>
  <Application>WPS Office</Application>
  <DocSecurity>0</DocSecurity>
  <Paragraphs>376</Paragraphs>
  <ScaleCrop>false</ScaleCrop>
  <Company>Reanimator Extreme Edition</Company>
  <LinksUpToDate>false</LinksUpToDate>
  <CharactersWithSpaces>12629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2019-04-07T13:13:00Z</dcterms:created>
  <dc:creator>Acer</dc:creator>
  <lastModifiedBy>Lenovo TAB 2 A10-70L</lastModifiedBy>
  <dcterms:modified xsi:type="dcterms:W3CDTF">2019-04-07T13:17:49Z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