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7A6E1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153BE1">
        <w:rPr>
          <w:rFonts w:ascii="Times New Roman" w:hAnsi="Times New Roman"/>
          <w:sz w:val="28"/>
          <w:szCs w:val="20"/>
        </w:rPr>
        <w:t>ДЕРМАТОВЕНЕРОЛОГИЯ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A6E14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A6E14" w:rsidRDefault="007A6E14" w:rsidP="007A6E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</w:t>
      </w:r>
      <w:r w:rsidR="00153BE1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>. «</w:t>
      </w:r>
      <w:r w:rsidR="00153BE1">
        <w:rPr>
          <w:rFonts w:ascii="Times New Roman" w:hAnsi="Times New Roman"/>
          <w:sz w:val="28"/>
          <w:szCs w:val="20"/>
        </w:rPr>
        <w:t>Лечебное дело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851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A6E1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7A6E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E14" w:rsidRPr="007A6E14">
        <w:rPr>
          <w:rFonts w:ascii="Times New Roman" w:hAnsi="Times New Roman"/>
          <w:sz w:val="24"/>
          <w:szCs w:val="24"/>
        </w:rPr>
        <w:t>31.05.0</w:t>
      </w:r>
      <w:r w:rsidR="00153BE1">
        <w:rPr>
          <w:rFonts w:ascii="Times New Roman" w:hAnsi="Times New Roman"/>
          <w:sz w:val="24"/>
          <w:szCs w:val="24"/>
        </w:rPr>
        <w:t>1</w:t>
      </w:r>
      <w:r w:rsidR="007A6E14" w:rsidRPr="00F94ACE">
        <w:rPr>
          <w:rFonts w:ascii="Times New Roman" w:hAnsi="Times New Roman"/>
          <w:i/>
          <w:sz w:val="24"/>
          <w:szCs w:val="24"/>
        </w:rPr>
        <w:t xml:space="preserve">. </w:t>
      </w:r>
      <w:r w:rsidR="00153BE1">
        <w:rPr>
          <w:rFonts w:ascii="Times New Roman" w:hAnsi="Times New Roman"/>
          <w:i/>
          <w:sz w:val="24"/>
          <w:szCs w:val="24"/>
        </w:rPr>
        <w:t>Лечебное дело</w:t>
      </w:r>
      <w:r w:rsidRPr="007A6E14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CF7355" w:rsidRPr="00CF7355" w:rsidRDefault="00114673" w:rsidP="00C851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D8278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D8278A">
        <w:rPr>
          <w:rFonts w:ascii="Times New Roman" w:hAnsi="Times New Roman"/>
          <w:color w:val="000000"/>
          <w:sz w:val="24"/>
          <w:szCs w:val="24"/>
        </w:rPr>
        <w:t>30</w:t>
      </w:r>
      <w:r w:rsidR="003E074B">
        <w:rPr>
          <w:rFonts w:ascii="Times New Roman" w:hAnsi="Times New Roman"/>
          <w:color w:val="000000"/>
          <w:sz w:val="24"/>
          <w:szCs w:val="24"/>
        </w:rPr>
        <w:t>» 0</w:t>
      </w:r>
      <w:r w:rsidR="00D8278A">
        <w:rPr>
          <w:rFonts w:ascii="Times New Roman" w:hAnsi="Times New Roman"/>
          <w:color w:val="000000"/>
          <w:sz w:val="24"/>
          <w:szCs w:val="24"/>
        </w:rPr>
        <w:t>4</w:t>
      </w:r>
      <w:r w:rsidR="00011F54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  <w:r w:rsidR="007A6E14">
        <w:rPr>
          <w:rFonts w:ascii="Times New Roman" w:hAnsi="Times New Roman"/>
          <w:color w:val="000000"/>
          <w:sz w:val="24"/>
          <w:szCs w:val="24"/>
        </w:rPr>
        <w:t>20</w:t>
      </w:r>
      <w:r w:rsidR="00D8278A">
        <w:rPr>
          <w:rFonts w:ascii="Times New Roman" w:hAnsi="Times New Roman"/>
          <w:color w:val="000000"/>
          <w:sz w:val="24"/>
          <w:szCs w:val="24"/>
        </w:rPr>
        <w:t>21</w:t>
      </w:r>
      <w:r w:rsidR="007A6E1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Pr="00CF7355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B477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Методические рекомендации к лекционному курсу</w:t>
      </w:r>
    </w:p>
    <w:p w:rsidR="002B4770" w:rsidRPr="002B4770" w:rsidRDefault="002B4770" w:rsidP="002B4770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Общая дерматология. Неинфекционные заболевания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Общая дерматология. Морфологические элементы. Методика обследования кожного больного. Основные принципы лечения кожных больных.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основным вопросам общей дерматологии, по современным методам диагностики кожных болезней. Углубить профессиональные знания по оценке клинических признаков дерматозов, анализу дерматологических симптомов, а также по оценке результатов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 инструментальных исследований, а также углубить и обновить знания студентов в истории развития дерматовенерологии.</w:t>
      </w:r>
    </w:p>
    <w:p w:rsidR="002B4770" w:rsidRPr="002B4770" w:rsidRDefault="002B4770" w:rsidP="002B4770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в данной лекции рассматриваются: история развития </w:t>
      </w:r>
      <w:proofErr w:type="spellStart"/>
      <w:r w:rsidRPr="002B4770">
        <w:rPr>
          <w:rFonts w:ascii="Times New Roman" w:hAnsi="Times New Roman"/>
          <w:bCs/>
          <w:color w:val="000000"/>
          <w:sz w:val="28"/>
          <w:szCs w:val="28"/>
        </w:rPr>
        <w:t>дерматовенрологии</w:t>
      </w:r>
      <w:proofErr w:type="spellEnd"/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; классические диагностические мероприятия, начинающиеся с основ диагностики любого поражения кожи, а именно сбор анамнеза, проведение осмотра невооруженным глазом, а также описание основных методик осмотра с помощью </w:t>
      </w:r>
      <w:proofErr w:type="spellStart"/>
      <w:r w:rsidRPr="002B4770">
        <w:rPr>
          <w:rFonts w:ascii="Times New Roman" w:hAnsi="Times New Roman"/>
          <w:bCs/>
          <w:color w:val="000000"/>
          <w:sz w:val="28"/>
          <w:szCs w:val="28"/>
        </w:rPr>
        <w:t>дерматоскопа</w:t>
      </w:r>
      <w:proofErr w:type="spellEnd"/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 и других инструментов. Далее подробно разбираются морфологические элементы, с их подробным описанием. Затем подробно разбираются лабораторные методы диагностики, включающее и гистологическое исследование кожи и слизистой оболочки. В заключении первой части лекции подробно разбираются принципы дифференциальной диагностики различных дерматозов. Также в данной лекции рассматриваются основные группы лекарственных препаратов, использующихся в практике врача дерматовенеролога, данные группы препаратов рассматриваются с точки зрения этиологического, патогенетического, симптоматического и индивидуального подхода в терапии. Затем подробно разбираются препараты системной терапии и наружной терапии. Подробно разбираются основные формы наружной терапии, показания и противопоказания, механизмы воздействия, а также фармакологические формы наружной терапии. Далее в лекции подробно рассматриваются эфферентные методы лечения, основные показания для проведения данной терапии. Затем разбираются физиотерапевтические методы, используемые в терапии дерматозов, показания и противопоказания к проведению последних.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</w:t>
      </w:r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Аллергодерматозы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(дерматиты,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токсидермии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экзема,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нейродерматозы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). Профессиональные заболевания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основным вопросам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аллергодерматозов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нейродерматозов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профессиональных заболеваний кожи. Подробно рассмотреть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клиники, диагностики, принципов терапии различных форм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аллергодерматозов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нейродерматозов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профессиональных дерматозов. Подробно рассмотреть вопросы дифференциальной диагностики дерматитов с экземами,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токсидермией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почесух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атопического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дерматита, заболеваний, связанных с профессиональными факторами, неинфекционной этиологии.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в данной лекции рассматриваются вопросы определения, классификации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аллергодерматозов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нейродерматозов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эитопатогенеза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 отдельных нозологических единиц, а именно различных форм данных патологий. Подробно рассматриваются вопросы клиники, диагностики и дифференциальной и лечения дерматитов,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токсикодермии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экзем,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атопического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дерматита, почесух, крапивницы. Далее рассматриваются вопросы тактики ведения пациентов, подробно рассматривается вопрос о системной кортикостероидной терапии, принципы данной терапии.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</w:t>
      </w:r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Аутоиммунные заболевания кожи (красная волчанка, склеродермия, пузырные дерматозы). Эпидемиология, этиопатогенез. Клиника, диагностика, лечение.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основным вопросам аутоиммунных заболеваний. Подробно рассмотреть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клиники, диагностики, принципов терапии различных форм аутоиммунных заболеваний. Подробно рассмотреть вопросы дифференциальной диагностики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акантолитической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пузырчатки, буллезного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пемфигоида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Левера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коллагенозов, а именно красной волчанки, склеродермии.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в данной лекции рассматриваются вопросы определения, классификации пузырных дерматозов,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эитопатогенеза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 отдельных нозологических единиц, а именно различных форм данных патологий. Подробно рассмотреть вопросы дифференциальной диагностики дифференциальной диагностики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акантолитической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пузырчатки,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пемфигоида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Левера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4770">
        <w:rPr>
          <w:rFonts w:ascii="Times New Roman" w:hAnsi="Times New Roman"/>
          <w:color w:val="000000"/>
          <w:sz w:val="28"/>
          <w:szCs w:val="28"/>
        </w:rPr>
        <w:lastRenderedPageBreak/>
        <w:t>красной волчанки и склеродермии. Далее рассматриваются вопросы тактики ведения пациентов, подробно рассматривается вопрос о назначении системной кортикостероидной терапии, принципы данной терапии.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</w:t>
      </w:r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Инфекционные заболевания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Грибковые заболевания кожи. Классификация, клиника, дифференциальная диагностика, лечение.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этиопатогенезу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эпидемиологии, клинике, диагностике, дифференциальной диагностике и лечению грибковых заболеваний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в лекции рассматриваются вопросы классификации грибковых заболеваний (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кератомикозов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дерматомикозов, в том числе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трихомикозов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микозов кистей и стоп,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онихомикозов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кандидозов), этиологии и патогенеза заболеваний. Приводится обзор клинических проявлений, лабораторной диагностики (микроскопический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культуральный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методы), рассматриваются вопросы дифференциального диагноза. Обсуждается тактика лечения пациентов, страдающих грибковыми заболеваниями. Приводится обзор современных антимикотических препаратов для системной и наружной терапии, обсуждаются преимущества комбинированной терапии и критерии её эффективности.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</w:t>
      </w:r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Модуль №3 Венерические болезни.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Учение о заболеваниях, передающихся половым путем. Особенности течения приобретенного сифилиса.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этиопатогенезу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эпидемиологии, клинике, дифференциальной диагностике и лечению сифилиса приобретённого, об истории развития венерических заболеваний.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в лекции рассматриваются вопросы классификации, </w:t>
      </w:r>
      <w:proofErr w:type="spellStart"/>
      <w:r w:rsidRPr="002B4770">
        <w:rPr>
          <w:rFonts w:ascii="Times New Roman" w:hAnsi="Times New Roman"/>
          <w:bCs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 сифилиса приобретённого (сифилиса первичного, вторичного, третичного), рассматриваются клинические проявления указанных заболеваний вопросы дифференциального диагноза. Обсуждаются вопросы сифилис и беременность.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Врождённый сифилис. Методы диагностики и принципы лечения сифилиса.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этиопатогенезу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эпидемиологии, клинике, диагностике, дифференциальной диагностике и лечению врожденного сифилиса. Лабораторная диагностика сифилиса.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в лекции рассматриваются вопросы классификации, </w:t>
      </w:r>
      <w:proofErr w:type="spellStart"/>
      <w:r w:rsidRPr="002B4770">
        <w:rPr>
          <w:rFonts w:ascii="Times New Roman" w:hAnsi="Times New Roman"/>
          <w:bCs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 врождённого сифилиса (сифилиса плода, сифилиса грудного и раннего детского возраста, позднего врождённого сифилиса), клиника, течение, вопросы диагностики и дифференциального диагноза, рассматриваются клинические проявления указанных заболеваний вопросы дифференциального диагноза. Обсуждаются вопросы сифилис и беременность, патоморфологические изменения тканей плаценты и плода при сифилитической инфекции. Лабораторная диагностика сифилиса.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B4770">
        <w:rPr>
          <w:rFonts w:ascii="Times New Roman" w:hAnsi="Times New Roman"/>
          <w:color w:val="000000"/>
          <w:sz w:val="28"/>
          <w:szCs w:val="28"/>
        </w:rPr>
        <w:t>: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Гонококковая инфекция у мужчин.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Негонококковые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уретриты. Принципы диагностики, лечения и профилактики. 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по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этиопатогенезу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эпидемиологии, клинике, диагностике гонококковой инфекции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негонококковых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уретритов.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в лекции рассматриваются вопросы классификации гонококковой инфекции, этиологии и патогенеза заболеваний. Обсуждаются биологические свойства возбудителей, особенности взаимодействия их с организмом человека. Приводится обзор клинических проявлений гонококковой инфекции. Рассматриваются современные подходы к лабораторной диагностике (особенности взятия биологического материала для исследования; микроскопический, </w:t>
      </w:r>
      <w:proofErr w:type="spellStart"/>
      <w:r w:rsidRPr="002B4770">
        <w:rPr>
          <w:rFonts w:ascii="Times New Roman" w:hAnsi="Times New Roman"/>
          <w:bCs/>
          <w:color w:val="000000"/>
          <w:sz w:val="28"/>
          <w:szCs w:val="28"/>
        </w:rPr>
        <w:t>культуральный</w:t>
      </w:r>
      <w:proofErr w:type="spellEnd"/>
      <w:r w:rsidRPr="002B4770">
        <w:rPr>
          <w:rFonts w:ascii="Times New Roman" w:hAnsi="Times New Roman"/>
          <w:bCs/>
          <w:color w:val="000000"/>
          <w:sz w:val="28"/>
          <w:szCs w:val="28"/>
        </w:rPr>
        <w:t xml:space="preserve"> метод, молекулярно-генетические методы диагностики). Рассматриваются вопросы дифференциального диагноза, терапии и оценки её эффективности. В заключение лекции проводится обобщение вышеизложенного материала, и формируются основные выводы по данной теме.</w:t>
      </w:r>
    </w:p>
    <w:p w:rsidR="002B4770" w:rsidRPr="002B4770" w:rsidRDefault="002B4770" w:rsidP="002B477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B4770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B4770">
        <w:rPr>
          <w:rFonts w:ascii="Times New Roman" w:hAnsi="Times New Roman"/>
          <w:color w:val="000000"/>
          <w:spacing w:val="-4"/>
          <w:sz w:val="28"/>
          <w:szCs w:val="28"/>
        </w:rPr>
        <w:t>: словесные, наглядные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проектор).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2B4770">
        <w:rPr>
          <w:rFonts w:ascii="Times New Roman" w:hAnsi="Times New Roman"/>
          <w:color w:val="000000"/>
          <w:sz w:val="28"/>
          <w:szCs w:val="28"/>
        </w:rPr>
        <w:t>. Общая дерматология. Неинфекционные заболевания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Анатомия и гистология кожи.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Патогистология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. Морфологические элементы. Методика обследования кожного больного. Основные принципы лечения кожных больных.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лечебного факультета об анатомии, морфологии, физиологии, функциям нормальной кожи. Изучить первичные и вторичные морфологические элементы, основы диагностики болезней кожи и принципы их общего и наружного лечения.   </w:t>
      </w:r>
      <w:r w:rsidRPr="002B47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Псориаз. Красный плоский лишай. Розовый лишай. Этиопатогенез, клиника, диагностика, профилактика, лечение.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изучить</w:t>
      </w:r>
      <w:r w:rsidRPr="002B4770">
        <w:rPr>
          <w:rFonts w:ascii="Times New Roman" w:hAnsi="Times New Roman"/>
          <w:sz w:val="28"/>
          <w:szCs w:val="28"/>
        </w:rPr>
        <w:t xml:space="preserve"> основные вопросы </w:t>
      </w:r>
      <w:proofErr w:type="spellStart"/>
      <w:r w:rsidRPr="002B4770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sz w:val="28"/>
          <w:szCs w:val="28"/>
        </w:rPr>
        <w:t xml:space="preserve">, клиники псориаза, красного плоского лишая, розового лишая </w:t>
      </w:r>
      <w:proofErr w:type="spellStart"/>
      <w:r w:rsidRPr="002B4770">
        <w:rPr>
          <w:rFonts w:ascii="Times New Roman" w:hAnsi="Times New Roman"/>
          <w:sz w:val="28"/>
          <w:szCs w:val="28"/>
        </w:rPr>
        <w:t>Жибера</w:t>
      </w:r>
      <w:proofErr w:type="spellEnd"/>
      <w:r w:rsidRPr="002B4770">
        <w:rPr>
          <w:rFonts w:ascii="Times New Roman" w:hAnsi="Times New Roman"/>
          <w:sz w:val="28"/>
          <w:szCs w:val="28"/>
        </w:rPr>
        <w:t>. Научиться диагностировать, оказывать лечебную помощь при данных дерматозах и их осложнениях. Ознакомиться с принципами профилактики данных дерматозов.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4770">
        <w:rPr>
          <w:rFonts w:ascii="Times New Roman" w:hAnsi="Times New Roman"/>
          <w:sz w:val="28"/>
          <w:szCs w:val="20"/>
        </w:rPr>
        <w:t>Аллергодерматозы</w:t>
      </w:r>
      <w:proofErr w:type="spellEnd"/>
      <w:r w:rsidRPr="002B4770">
        <w:rPr>
          <w:rFonts w:ascii="Times New Roman" w:hAnsi="Times New Roman"/>
          <w:sz w:val="28"/>
          <w:szCs w:val="20"/>
        </w:rPr>
        <w:t xml:space="preserve"> (дерматиты, </w:t>
      </w:r>
      <w:proofErr w:type="spellStart"/>
      <w:r w:rsidRPr="002B4770">
        <w:rPr>
          <w:rFonts w:ascii="Times New Roman" w:hAnsi="Times New Roman"/>
          <w:sz w:val="28"/>
          <w:szCs w:val="20"/>
        </w:rPr>
        <w:t>токсидермии</w:t>
      </w:r>
      <w:proofErr w:type="spellEnd"/>
      <w:r w:rsidRPr="002B4770">
        <w:rPr>
          <w:rFonts w:ascii="Times New Roman" w:hAnsi="Times New Roman"/>
          <w:sz w:val="28"/>
          <w:szCs w:val="20"/>
        </w:rPr>
        <w:t xml:space="preserve">, экзема, профессиональные заболевания кожи химической этиологии). </w:t>
      </w:r>
      <w:proofErr w:type="spellStart"/>
      <w:r w:rsidRPr="002B4770">
        <w:rPr>
          <w:rFonts w:ascii="Times New Roman" w:hAnsi="Times New Roman"/>
          <w:sz w:val="28"/>
          <w:szCs w:val="20"/>
        </w:rPr>
        <w:t>Нейродерматозы</w:t>
      </w:r>
      <w:proofErr w:type="spellEnd"/>
      <w:r w:rsidRPr="002B4770">
        <w:rPr>
          <w:rFonts w:ascii="Times New Roman" w:hAnsi="Times New Roman"/>
          <w:sz w:val="28"/>
          <w:szCs w:val="20"/>
        </w:rPr>
        <w:t xml:space="preserve"> (кожный зуд, почесухи, крапивница, </w:t>
      </w:r>
      <w:proofErr w:type="spellStart"/>
      <w:r w:rsidRPr="002B4770">
        <w:rPr>
          <w:rFonts w:ascii="Times New Roman" w:hAnsi="Times New Roman"/>
          <w:sz w:val="28"/>
          <w:szCs w:val="20"/>
        </w:rPr>
        <w:t>атопический</w:t>
      </w:r>
      <w:proofErr w:type="spellEnd"/>
      <w:r w:rsidRPr="002B4770">
        <w:rPr>
          <w:rFonts w:ascii="Times New Roman" w:hAnsi="Times New Roman"/>
          <w:sz w:val="28"/>
          <w:szCs w:val="20"/>
        </w:rPr>
        <w:t xml:space="preserve"> дерматит). Этиопатогенез, клиника, диагностика, профилактика, лечение.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классификации, клиники, диагностики, дифференциальной диагностики дерматитов,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токсидермий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экзем, кожного зуда, крапивницы, почесух,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атопического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дерматита. </w:t>
      </w:r>
      <w:r w:rsidRPr="002B4770">
        <w:rPr>
          <w:rFonts w:ascii="Times New Roman" w:hAnsi="Times New Roman"/>
          <w:sz w:val="28"/>
          <w:szCs w:val="28"/>
        </w:rPr>
        <w:t>Научиться диагностировать, оказывать лечебную помощь при данных дерматозах и их осложнениях. Ознакомиться с принципами профилактики данных дерматозов.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sz w:val="28"/>
          <w:szCs w:val="20"/>
        </w:rPr>
        <w:t>Новообразования кожи. Предраковые дерматозы. Кожные проявления заболеваний внутренних органов.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новообразований кожи, предраковых заболеваний, заболеваний кожи, связанных с поражением внутренних органов, а </w:t>
      </w:r>
      <w:proofErr w:type="gramStart"/>
      <w:r w:rsidRPr="002B4770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особенности клиники, диагностики, дифференциальной диагностики меланомы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невусов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.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Ознакомиться с принципами лечения доброкачественных и злокачественных новообразований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Локализованная склеродермия. Хроническая красная волчанка. Этиопатогенез, клиника, диагностика, профилактика, лечение. Рубежный контроль.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классификации, клиники, диагностики, дифференциальной диагностики, профилактики красной волчанки и склеродермии; лечения и реабилитации пациентов, страдающих красной волчанкой, склеродермией.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sz w:val="28"/>
          <w:szCs w:val="20"/>
        </w:rPr>
        <w:t xml:space="preserve">Пузырные дерматозы. (Истинная пузырчатка, </w:t>
      </w:r>
      <w:proofErr w:type="spellStart"/>
      <w:r w:rsidRPr="002B4770">
        <w:rPr>
          <w:rFonts w:ascii="Times New Roman" w:hAnsi="Times New Roman"/>
          <w:sz w:val="28"/>
          <w:szCs w:val="20"/>
        </w:rPr>
        <w:t>герпитиформный</w:t>
      </w:r>
      <w:proofErr w:type="spellEnd"/>
      <w:r w:rsidRPr="002B4770">
        <w:rPr>
          <w:rFonts w:ascii="Times New Roman" w:hAnsi="Times New Roman"/>
          <w:sz w:val="28"/>
          <w:szCs w:val="20"/>
        </w:rPr>
        <w:t xml:space="preserve"> дерматит Дюринга). </w:t>
      </w:r>
      <w:proofErr w:type="spellStart"/>
      <w:r w:rsidRPr="002B4770">
        <w:rPr>
          <w:rFonts w:ascii="Times New Roman" w:hAnsi="Times New Roman"/>
          <w:sz w:val="28"/>
          <w:szCs w:val="20"/>
        </w:rPr>
        <w:t>Васкулиты</w:t>
      </w:r>
      <w:proofErr w:type="spellEnd"/>
      <w:r w:rsidRPr="002B4770">
        <w:rPr>
          <w:rFonts w:ascii="Times New Roman" w:hAnsi="Times New Roman"/>
          <w:sz w:val="28"/>
          <w:szCs w:val="20"/>
        </w:rPr>
        <w:t>. Этиопатогенез, клиника, диагностика, профилактика, лечение». Рубежный контроль.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классификации пузырных дерматозов,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клиники, диагностики, дифференциальной диагностики истинной (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акантолитической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) пузырчатки, дерматоза Дюринга,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буллёзного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пемфигоида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Левера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васкулитов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кожи. Научиться диагностике, дифференциальной диагностике пациентов, страдающих истинной (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акантолитической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) пузырчаткой, дерматозом Дюринга,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васкулитов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кожи.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Ознакомиться с принципами лечения пузырных дерматозов и клинических разновидностей полиморфного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дермального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ангиита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хронической пигментной пурпуры,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ливедоангиита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узловатого и узловато-язвенного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ангиита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Инфекционные заболевания кожи.</w:t>
      </w:r>
    </w:p>
    <w:p w:rsidR="002B4770" w:rsidRPr="002B4770" w:rsidRDefault="002B4770" w:rsidP="002B477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Грибковые заболевания кожи.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Кератомикозы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трихомикозы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микозы кистей и стоп, кандидозы. Эпидемиология, этиопатогенез, клиника. Лабораторная диагностика. Принципы лечения и профилактики.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изучить</w:t>
      </w:r>
      <w:proofErr w:type="gramEnd"/>
      <w:r w:rsidRPr="002B4770">
        <w:rPr>
          <w:rFonts w:ascii="Times New Roman" w:hAnsi="Times New Roman"/>
          <w:color w:val="000000"/>
          <w:sz w:val="28"/>
          <w:szCs w:val="28"/>
        </w:rPr>
        <w:t xml:space="preserve"> вопросы классификации грибковых заболеваний;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клиники, диагностики, дифференциальной диагностики и лечения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кератомикозов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трихомикозов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микозов кистей и стоп, кандидоза. Ознакомиться с методами диагностики и дифференциальной диагностики микозов, а также с принципами лечения данных заболеваний.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Пиодермии. Чесотка. Педикулез. Профессиональные заболевания кожи инфекционной природы. Эпидемиология, этиопатогенез, клиника. Принципы лечения и профилактики. Рубежный контроль.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клиники, диагностики, дифференциальной диагностики, профилактики и лечения чесотки, педикулёза,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стрептодемий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стафилодемий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стрепто-стафилодермий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70" w:rsidRPr="002B4770" w:rsidRDefault="002B4770" w:rsidP="002B477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Туберкулез кожи. Вирусные дерматозы. Эпидемиология, этиопатогенез, клиника. Принципы лечения и профилактики.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клиники, диагностики, дифференциальной диагностики, профилактики и лечения простого герпеса, опоясывающего герпеса, вирусных бородавок, контагиозного моллюска, туберкулеза кожи.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Модуль №3 Венерические болезни.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10.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Введение в венерологию. Классификация ИППП. Особенности обследования венерических больных. Сифилис приобретенный. Эпидемиология, этиопатогенез, клиника.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изучить вопросы об общих принципах обследования и лечения пациентов с инфекциями, передаваемыми преимущественно половым путём (ИППП),</w:t>
      </w:r>
      <w:r w:rsidRPr="002B4770"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этиопатогенезе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классификации, общем течении сифилиса приобретённого.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11.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Врожденный сифилис. Эпидемиология, этиопатогенез, клиника. Лабораторная диагностика, принципы лечения и профилактики.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эпидемиологии,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этиопатогенетических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аспектов, современных особенностей клинического течения врождённого сифилиса, проблем дифференциальной диагностики, профилактических мероприятий, формирования групп риска беременных, выявления групп риска новорожденных, лабораторной диагностики и составления лечебно-профилактических мероприятий.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Тема 12.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Гонококковая инфекция,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негонококковые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ИППП. Эпидемиология, этиопатогенез, клиника. Лабораторная диагностика, принципы лечения и профилактики». Рубежный контроль. Защита истории болезни.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изучить вопросы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 классификации и клинических проявлений гонококковой инфекции,</w:t>
      </w:r>
      <w:r w:rsidRPr="002B4770"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классификации и клинических проявлений урогенитальных заболеваний, вызванных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Mycoplasma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genitalium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>,</w:t>
      </w:r>
      <w:r w:rsidRPr="002B4770"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Mycoplasma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hominis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Ureaplasma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spp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., хламидийной инфекции, урогенитального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трихоманиаза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урогенитального кандидоза, бактериального </w:t>
      </w:r>
      <w:proofErr w:type="spellStart"/>
      <w:r w:rsidRPr="002B4770">
        <w:rPr>
          <w:rFonts w:ascii="Times New Roman" w:hAnsi="Times New Roman"/>
          <w:color w:val="000000"/>
          <w:sz w:val="28"/>
          <w:szCs w:val="28"/>
        </w:rPr>
        <w:t>вагиноза</w:t>
      </w:r>
      <w:proofErr w:type="spellEnd"/>
      <w:r w:rsidRPr="002B4770">
        <w:rPr>
          <w:rFonts w:ascii="Times New Roman" w:hAnsi="Times New Roman"/>
          <w:color w:val="000000"/>
          <w:sz w:val="28"/>
          <w:szCs w:val="28"/>
        </w:rPr>
        <w:t xml:space="preserve">, особенностей лабораторной диагностики и принципов лечения данных заболеваний.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12.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Защита истории болезни.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Рубежный контроль. Тестирование. Сдача практических навыков.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2B4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B4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70">
        <w:rPr>
          <w:rFonts w:ascii="Times New Roman" w:hAnsi="Times New Roman"/>
          <w:color w:val="000000"/>
          <w:sz w:val="28"/>
          <w:szCs w:val="28"/>
        </w:rPr>
        <w:t>систематизировать знания по модулю венерические болезни, отработать практические навыки по дисциплине дерматовенерология, сдать итоговое тестирование.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B4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по дисциплине (перечень практических навыков представлен в ФОС)</w:t>
            </w:r>
          </w:p>
        </w:tc>
      </w:tr>
      <w:tr w:rsidR="002B4770" w:rsidRPr="002B4770" w:rsidTr="003E71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70" w:rsidRPr="002B4770" w:rsidRDefault="002B4770" w:rsidP="002B4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7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дисциплины;</w:t>
            </w:r>
          </w:p>
          <w:p w:rsidR="002B4770" w:rsidRPr="002B4770" w:rsidRDefault="002B4770" w:rsidP="002B477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B477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</w:tc>
      </w:tr>
    </w:tbl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4770" w:rsidRPr="002B4770" w:rsidRDefault="002B4770" w:rsidP="002B4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2B4770" w:rsidRPr="002B4770" w:rsidRDefault="002B4770" w:rsidP="002B4770">
      <w:pPr>
        <w:rPr>
          <w:rFonts w:ascii="Times New Roman" w:hAnsi="Times New Roman"/>
          <w:b/>
          <w:color w:val="000000"/>
          <w:sz w:val="28"/>
          <w:szCs w:val="28"/>
        </w:rPr>
      </w:pPr>
      <w:r w:rsidRPr="002B477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4770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2B4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7E" w:rsidRPr="00321A77" w:rsidRDefault="00136B7E" w:rsidP="002B4770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14" w:rsidRDefault="00D45C14" w:rsidP="00CF7355">
      <w:pPr>
        <w:spacing w:after="0" w:line="240" w:lineRule="auto"/>
      </w:pPr>
      <w:r>
        <w:separator/>
      </w:r>
    </w:p>
  </w:endnote>
  <w:endnote w:type="continuationSeparator" w:id="0">
    <w:p w:rsidR="00D45C14" w:rsidRDefault="00D45C1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E64C7" w:rsidRDefault="002E64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F54">
          <w:rPr>
            <w:noProof/>
          </w:rPr>
          <w:t>10</w:t>
        </w:r>
        <w:r>
          <w:fldChar w:fldCharType="end"/>
        </w:r>
      </w:p>
    </w:sdtContent>
  </w:sdt>
  <w:p w:rsidR="002E64C7" w:rsidRDefault="002E64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14" w:rsidRDefault="00D45C14" w:rsidP="00CF7355">
      <w:pPr>
        <w:spacing w:after="0" w:line="240" w:lineRule="auto"/>
      </w:pPr>
      <w:r>
        <w:separator/>
      </w:r>
    </w:p>
  </w:footnote>
  <w:footnote w:type="continuationSeparator" w:id="0">
    <w:p w:rsidR="00D45C14" w:rsidRDefault="00D45C1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152CB"/>
    <w:multiLevelType w:val="hybridMultilevel"/>
    <w:tmpl w:val="7418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D2D62B4"/>
    <w:multiLevelType w:val="hybridMultilevel"/>
    <w:tmpl w:val="C51AFE2A"/>
    <w:lvl w:ilvl="0" w:tplc="58AE5C88">
      <w:start w:val="2"/>
      <w:numFmt w:val="decimal"/>
      <w:lvlText w:val="%1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36364D"/>
    <w:multiLevelType w:val="hybridMultilevel"/>
    <w:tmpl w:val="25847B2A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55D63"/>
    <w:multiLevelType w:val="hybridMultilevel"/>
    <w:tmpl w:val="18F83ADC"/>
    <w:lvl w:ilvl="0" w:tplc="1E0C3D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1F54"/>
    <w:rsid w:val="00015A64"/>
    <w:rsid w:val="00025283"/>
    <w:rsid w:val="0003528C"/>
    <w:rsid w:val="00045916"/>
    <w:rsid w:val="0006086A"/>
    <w:rsid w:val="00086B4E"/>
    <w:rsid w:val="000C1612"/>
    <w:rsid w:val="000D1CBE"/>
    <w:rsid w:val="000E0A08"/>
    <w:rsid w:val="00104C6C"/>
    <w:rsid w:val="0010679C"/>
    <w:rsid w:val="00114673"/>
    <w:rsid w:val="00136B7E"/>
    <w:rsid w:val="00141711"/>
    <w:rsid w:val="00153BE1"/>
    <w:rsid w:val="001959D9"/>
    <w:rsid w:val="00200655"/>
    <w:rsid w:val="002648DD"/>
    <w:rsid w:val="002749B5"/>
    <w:rsid w:val="002B4770"/>
    <w:rsid w:val="002B5FA7"/>
    <w:rsid w:val="002E0F9E"/>
    <w:rsid w:val="002E64C7"/>
    <w:rsid w:val="00305C98"/>
    <w:rsid w:val="00321A77"/>
    <w:rsid w:val="003314E4"/>
    <w:rsid w:val="003327F1"/>
    <w:rsid w:val="003656F5"/>
    <w:rsid w:val="003A7817"/>
    <w:rsid w:val="003C2D85"/>
    <w:rsid w:val="003E074B"/>
    <w:rsid w:val="003E21F9"/>
    <w:rsid w:val="003E579D"/>
    <w:rsid w:val="00406A92"/>
    <w:rsid w:val="004168B7"/>
    <w:rsid w:val="0044622E"/>
    <w:rsid w:val="00446D54"/>
    <w:rsid w:val="004711E5"/>
    <w:rsid w:val="00474BBE"/>
    <w:rsid w:val="004826E0"/>
    <w:rsid w:val="004931D7"/>
    <w:rsid w:val="004F2D81"/>
    <w:rsid w:val="00511905"/>
    <w:rsid w:val="005119AE"/>
    <w:rsid w:val="0052663D"/>
    <w:rsid w:val="00586A55"/>
    <w:rsid w:val="005913A0"/>
    <w:rsid w:val="005C1455"/>
    <w:rsid w:val="005F2623"/>
    <w:rsid w:val="00600AC6"/>
    <w:rsid w:val="00616B40"/>
    <w:rsid w:val="00677795"/>
    <w:rsid w:val="00680897"/>
    <w:rsid w:val="00730054"/>
    <w:rsid w:val="0075623B"/>
    <w:rsid w:val="00774A23"/>
    <w:rsid w:val="007905BB"/>
    <w:rsid w:val="0079716A"/>
    <w:rsid w:val="007A6E14"/>
    <w:rsid w:val="007F44DA"/>
    <w:rsid w:val="008C32FB"/>
    <w:rsid w:val="008E0E9F"/>
    <w:rsid w:val="00951144"/>
    <w:rsid w:val="009B447C"/>
    <w:rsid w:val="009D44E6"/>
    <w:rsid w:val="00A0297D"/>
    <w:rsid w:val="00A45FDC"/>
    <w:rsid w:val="00A539CA"/>
    <w:rsid w:val="00A95A04"/>
    <w:rsid w:val="00AD4B82"/>
    <w:rsid w:val="00AE75A9"/>
    <w:rsid w:val="00B728F8"/>
    <w:rsid w:val="00BA3AFD"/>
    <w:rsid w:val="00BD179A"/>
    <w:rsid w:val="00BD661B"/>
    <w:rsid w:val="00C05E63"/>
    <w:rsid w:val="00C156F7"/>
    <w:rsid w:val="00C27612"/>
    <w:rsid w:val="00C33FB9"/>
    <w:rsid w:val="00C56396"/>
    <w:rsid w:val="00C6560B"/>
    <w:rsid w:val="00C70DAF"/>
    <w:rsid w:val="00C8432B"/>
    <w:rsid w:val="00C85102"/>
    <w:rsid w:val="00C91BEF"/>
    <w:rsid w:val="00C924F2"/>
    <w:rsid w:val="00CF7355"/>
    <w:rsid w:val="00D1085F"/>
    <w:rsid w:val="00D41D49"/>
    <w:rsid w:val="00D45C14"/>
    <w:rsid w:val="00D8278A"/>
    <w:rsid w:val="00DA1FE4"/>
    <w:rsid w:val="00E30573"/>
    <w:rsid w:val="00E525E7"/>
    <w:rsid w:val="00E72595"/>
    <w:rsid w:val="00E754C2"/>
    <w:rsid w:val="00EB466C"/>
    <w:rsid w:val="00F156F8"/>
    <w:rsid w:val="00F23636"/>
    <w:rsid w:val="00F42E17"/>
    <w:rsid w:val="00F4663F"/>
    <w:rsid w:val="00F61E3D"/>
    <w:rsid w:val="00F94ACE"/>
    <w:rsid w:val="00FA5D02"/>
    <w:rsid w:val="00FC466C"/>
    <w:rsid w:val="00FD268C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numbering" w:customStyle="1" w:styleId="21">
    <w:name w:val="Нет списка2"/>
    <w:next w:val="a2"/>
    <w:uiPriority w:val="99"/>
    <w:semiHidden/>
    <w:unhideWhenUsed/>
    <w:rsid w:val="002B4770"/>
  </w:style>
  <w:style w:type="numbering" w:customStyle="1" w:styleId="11">
    <w:name w:val="Нет списка11"/>
    <w:next w:val="a2"/>
    <w:semiHidden/>
    <w:rsid w:val="002B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2019-02-05T10:00:00Z</cp:lastPrinted>
  <dcterms:created xsi:type="dcterms:W3CDTF">2019-03-13T15:24:00Z</dcterms:created>
  <dcterms:modified xsi:type="dcterms:W3CDTF">2023-10-17T07:45:00Z</dcterms:modified>
</cp:coreProperties>
</file>