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3FF0" w14:textId="77777777" w:rsidR="004C23C0" w:rsidRPr="0030059E" w:rsidRDefault="004C23C0" w:rsidP="004C23C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4580DEA9" w14:textId="77777777" w:rsidR="004C23C0" w:rsidRPr="0030059E" w:rsidRDefault="004C23C0" w:rsidP="004C23C0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7BEAD8A0" w14:textId="77777777" w:rsidR="004C23C0" w:rsidRPr="0030059E" w:rsidRDefault="004C23C0" w:rsidP="004C23C0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30059E">
        <w:rPr>
          <w:sz w:val="28"/>
          <w:szCs w:val="28"/>
        </w:rPr>
        <w:t>- это</w:t>
      </w:r>
      <w:proofErr w:type="gramEnd"/>
      <w:r w:rsidRPr="0030059E">
        <w:rPr>
          <w:sz w:val="28"/>
          <w:szCs w:val="28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30059E">
        <w:rPr>
          <w:sz w:val="28"/>
          <w:szCs w:val="28"/>
        </w:rPr>
        <w:t>лейкотриены</w:t>
      </w:r>
      <w:proofErr w:type="spellEnd"/>
      <w:r w:rsidRPr="0030059E">
        <w:rPr>
          <w:sz w:val="28"/>
          <w:szCs w:val="28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433A80AE" w14:textId="77777777" w:rsidR="004C23C0" w:rsidRPr="0030059E" w:rsidRDefault="004C23C0" w:rsidP="004C23C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7.5</w:t>
      </w:r>
    </w:p>
    <w:p w14:paraId="366769D4" w14:textId="77777777" w:rsidR="004C23C0" w:rsidRPr="0030059E" w:rsidRDefault="004C23C0" w:rsidP="004C23C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«МЕТАБОЛИЗМ ХОЛЕСТЕРИНА И ЕГО ТРАНСПОРТ. ПАТОЛОГИЯ ЛИПИДНОГО ОБМЕНА»</w:t>
      </w:r>
    </w:p>
    <w:p w14:paraId="3853C2F5" w14:textId="77777777" w:rsidR="004C23C0" w:rsidRPr="0030059E" w:rsidRDefault="004C23C0" w:rsidP="004C23C0">
      <w:pPr>
        <w:ind w:firstLine="709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 темы.</w:t>
      </w:r>
    </w:p>
    <w:p w14:paraId="006AFBC9" w14:textId="77777777" w:rsidR="004C23C0" w:rsidRPr="0030059E" w:rsidRDefault="004C23C0" w:rsidP="004C23C0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</w:rPr>
        <w:t xml:space="preserve">При изучении этого раздела врач должен четко понимать роль холестерина в организме, иметь представление об его биосинтезе, транспорте и путях выведения, а также знать процессы ведущие к патологии обмена холестерина. </w:t>
      </w:r>
    </w:p>
    <w:p w14:paraId="234A0C23" w14:textId="77777777" w:rsidR="004C23C0" w:rsidRPr="0030059E" w:rsidRDefault="004C23C0" w:rsidP="004C23C0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Цель занятия:</w:t>
      </w:r>
    </w:p>
    <w:p w14:paraId="6AC06471" w14:textId="77777777" w:rsidR="004C23C0" w:rsidRPr="0030059E" w:rsidRDefault="004C23C0" w:rsidP="004C23C0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знать биологическую роль, метаболизм и транспорт </w:t>
      </w:r>
      <w:proofErr w:type="spellStart"/>
      <w:r w:rsidRPr="0030059E">
        <w:rPr>
          <w:sz w:val="28"/>
          <w:szCs w:val="28"/>
        </w:rPr>
        <w:t>холестерола</w:t>
      </w:r>
      <w:proofErr w:type="spellEnd"/>
      <w:r w:rsidRPr="0030059E">
        <w:rPr>
          <w:sz w:val="28"/>
          <w:szCs w:val="28"/>
        </w:rPr>
        <w:t>;</w:t>
      </w:r>
    </w:p>
    <w:p w14:paraId="71DA4490" w14:textId="77777777" w:rsidR="004C23C0" w:rsidRPr="0030059E" w:rsidRDefault="004C23C0" w:rsidP="004C23C0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уметь определять содержание </w:t>
      </w:r>
      <w:proofErr w:type="spellStart"/>
      <w:r w:rsidRPr="0030059E">
        <w:rPr>
          <w:sz w:val="28"/>
          <w:szCs w:val="28"/>
        </w:rPr>
        <w:t>холестерола</w:t>
      </w:r>
      <w:proofErr w:type="spellEnd"/>
      <w:r w:rsidRPr="0030059E">
        <w:rPr>
          <w:sz w:val="28"/>
          <w:szCs w:val="28"/>
        </w:rPr>
        <w:t xml:space="preserve"> в сыворотке крови и анализировать полученные результаты;</w:t>
      </w:r>
    </w:p>
    <w:p w14:paraId="5D85340F" w14:textId="77777777" w:rsidR="004C23C0" w:rsidRPr="0030059E" w:rsidRDefault="004C23C0" w:rsidP="004C23C0">
      <w:pPr>
        <w:numPr>
          <w:ilvl w:val="0"/>
          <w:numId w:val="1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понимать причины и биохимические основы возникновения патологий обмена холестерина.</w:t>
      </w:r>
    </w:p>
    <w:p w14:paraId="5A2B0514" w14:textId="77777777" w:rsidR="004C23C0" w:rsidRPr="0030059E" w:rsidRDefault="004C23C0" w:rsidP="004C23C0">
      <w:pPr>
        <w:ind w:firstLine="709"/>
        <w:jc w:val="both"/>
        <w:rPr>
          <w:sz w:val="28"/>
          <w:szCs w:val="28"/>
          <w:u w:val="single"/>
        </w:rPr>
      </w:pPr>
    </w:p>
    <w:p w14:paraId="3F6EC41B" w14:textId="77777777" w:rsidR="004C23C0" w:rsidRPr="0030059E" w:rsidRDefault="004C23C0" w:rsidP="004C23C0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1766129B" w14:textId="77777777" w:rsidR="004C23C0" w:rsidRPr="0030059E" w:rsidRDefault="004C23C0" w:rsidP="004C23C0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Холестерин. Транспорт холестерина Биохимические основы развития атеросклероза и желчнокаменной болезни.</w:t>
      </w:r>
    </w:p>
    <w:p w14:paraId="41E49322" w14:textId="77777777" w:rsidR="004C23C0" w:rsidRPr="0030059E" w:rsidRDefault="004C23C0" w:rsidP="004C23C0">
      <w:pPr>
        <w:ind w:firstLine="709"/>
        <w:jc w:val="both"/>
        <w:rPr>
          <w:sz w:val="28"/>
          <w:szCs w:val="28"/>
        </w:rPr>
      </w:pPr>
    </w:p>
    <w:p w14:paraId="78ED5C7C" w14:textId="77777777" w:rsidR="004C23C0" w:rsidRPr="0030059E" w:rsidRDefault="004C23C0" w:rsidP="004C23C0">
      <w:pPr>
        <w:pStyle w:val="a3"/>
        <w:tabs>
          <w:tab w:val="left" w:pos="360"/>
        </w:tabs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К ЗАНЯТИЮ</w:t>
      </w:r>
    </w:p>
    <w:p w14:paraId="4501F8C8" w14:textId="77777777" w:rsidR="004C23C0" w:rsidRPr="0030059E" w:rsidRDefault="004C23C0" w:rsidP="004C23C0">
      <w:pPr>
        <w:pStyle w:val="a5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Представление о биосинтезе холестерина (ХС). Роль </w:t>
      </w:r>
      <w:proofErr w:type="spellStart"/>
      <w:r w:rsidRPr="0030059E">
        <w:rPr>
          <w:rFonts w:ascii="Times New Roman" w:hAnsi="Times New Roman"/>
          <w:sz w:val="28"/>
          <w:szCs w:val="28"/>
        </w:rPr>
        <w:t>оксиметилглютарил</w:t>
      </w:r>
      <w:proofErr w:type="spellEnd"/>
      <w:r w:rsidRPr="0030059E">
        <w:rPr>
          <w:rFonts w:ascii="Times New Roman" w:hAnsi="Times New Roman"/>
          <w:sz w:val="28"/>
          <w:szCs w:val="28"/>
        </w:rPr>
        <w:t>-</w:t>
      </w:r>
      <w:proofErr w:type="spellStart"/>
      <w:r w:rsidRPr="0030059E">
        <w:rPr>
          <w:rFonts w:ascii="Times New Roman" w:hAnsi="Times New Roman"/>
          <w:sz w:val="28"/>
          <w:szCs w:val="28"/>
        </w:rPr>
        <w:t>КоА</w:t>
      </w:r>
      <w:proofErr w:type="spellEnd"/>
      <w:r w:rsidRPr="0030059E">
        <w:rPr>
          <w:rFonts w:ascii="Times New Roman" w:hAnsi="Times New Roman"/>
          <w:sz w:val="28"/>
          <w:szCs w:val="28"/>
        </w:rPr>
        <w:t>-редуктазы в биосинтезе ХС. Регуляция процесса.</w:t>
      </w:r>
    </w:p>
    <w:p w14:paraId="77B1F4AF" w14:textId="77777777" w:rsidR="004C23C0" w:rsidRPr="0030059E" w:rsidRDefault="004C23C0" w:rsidP="004C23C0">
      <w:pPr>
        <w:pStyle w:val="a5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Транспорт ХС кровью. Роль ЛПНП и ЛПВП. ЛХАТ – реакция и её роль в метаболизме ХС.</w:t>
      </w:r>
    </w:p>
    <w:p w14:paraId="0104CA39" w14:textId="77777777" w:rsidR="004C23C0" w:rsidRPr="0030059E" w:rsidRDefault="004C23C0" w:rsidP="004C23C0">
      <w:pPr>
        <w:pStyle w:val="a5"/>
        <w:numPr>
          <w:ilvl w:val="0"/>
          <w:numId w:val="2"/>
        </w:numPr>
        <w:spacing w:after="0" w:line="240" w:lineRule="auto"/>
        <w:ind w:left="53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>Катаболизм ХС. Выведение желчных кислот и ХС из организма.</w:t>
      </w:r>
    </w:p>
    <w:p w14:paraId="2FCEAEDF" w14:textId="77777777" w:rsidR="004C23C0" w:rsidRPr="0030059E" w:rsidRDefault="004C23C0" w:rsidP="004C23C0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530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Нарушения липидного обмена - первичные и вторичные: атеросклероз, </w:t>
      </w:r>
      <w:proofErr w:type="spellStart"/>
      <w:r w:rsidRPr="0030059E">
        <w:rPr>
          <w:rFonts w:ascii="Times New Roman" w:hAnsi="Times New Roman"/>
          <w:sz w:val="28"/>
          <w:szCs w:val="28"/>
        </w:rPr>
        <w:t>желчекаменная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 болезнь. </w:t>
      </w:r>
    </w:p>
    <w:p w14:paraId="27176367" w14:textId="77777777" w:rsidR="004C23C0" w:rsidRPr="0030059E" w:rsidRDefault="004C23C0" w:rsidP="004C23C0">
      <w:pPr>
        <w:jc w:val="center"/>
        <w:rPr>
          <w:b/>
          <w:sz w:val="28"/>
          <w:szCs w:val="28"/>
        </w:rPr>
      </w:pPr>
    </w:p>
    <w:p w14:paraId="474D22D9" w14:textId="77777777" w:rsidR="004C23C0" w:rsidRPr="0030059E" w:rsidRDefault="004C23C0" w:rsidP="004C23C0">
      <w:pPr>
        <w:jc w:val="center"/>
        <w:rPr>
          <w:b/>
          <w:sz w:val="28"/>
          <w:szCs w:val="28"/>
        </w:rPr>
      </w:pPr>
    </w:p>
    <w:p w14:paraId="753EB868" w14:textId="77777777" w:rsidR="004C23C0" w:rsidRPr="0030059E" w:rsidRDefault="004C23C0" w:rsidP="004C23C0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Лабораторная работа 1</w:t>
      </w:r>
    </w:p>
    <w:p w14:paraId="02356093" w14:textId="77777777" w:rsidR="004C23C0" w:rsidRPr="0030059E" w:rsidRDefault="004C23C0" w:rsidP="004C23C0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«Количественное определение ХС в сыворотке крови </w:t>
      </w:r>
    </w:p>
    <w:p w14:paraId="54C6A55E" w14:textId="77777777" w:rsidR="004C23C0" w:rsidRPr="0030059E" w:rsidRDefault="004C23C0" w:rsidP="004C23C0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ферментативным методом»</w:t>
      </w:r>
    </w:p>
    <w:p w14:paraId="63C2E94E" w14:textId="77777777" w:rsidR="004C23C0" w:rsidRPr="0030059E" w:rsidRDefault="004C23C0" w:rsidP="004C23C0">
      <w:pPr>
        <w:pStyle w:val="BodyText21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lastRenderedPageBreak/>
        <w:t>Принцип метода:</w:t>
      </w:r>
      <w:r w:rsidRPr="0030059E">
        <w:rPr>
          <w:sz w:val="28"/>
          <w:szCs w:val="28"/>
        </w:rPr>
        <w:t xml:space="preserve"> метод основан на использовании сопряженных ферментативных реакций, катализируемых </w:t>
      </w:r>
      <w:proofErr w:type="spellStart"/>
      <w:r w:rsidRPr="0030059E">
        <w:rPr>
          <w:sz w:val="28"/>
          <w:szCs w:val="28"/>
        </w:rPr>
        <w:t>холестеролэстеразой</w:t>
      </w:r>
      <w:proofErr w:type="spellEnd"/>
      <w:r w:rsidRPr="0030059E">
        <w:rPr>
          <w:sz w:val="28"/>
          <w:szCs w:val="28"/>
        </w:rPr>
        <w:t xml:space="preserve">, которая осуществляет гидролиз эфиров </w:t>
      </w:r>
      <w:proofErr w:type="spellStart"/>
      <w:r w:rsidRPr="0030059E">
        <w:rPr>
          <w:sz w:val="28"/>
          <w:szCs w:val="28"/>
        </w:rPr>
        <w:t>холестерола</w:t>
      </w:r>
      <w:proofErr w:type="spellEnd"/>
      <w:r w:rsidRPr="0030059E">
        <w:rPr>
          <w:sz w:val="28"/>
          <w:szCs w:val="28"/>
        </w:rPr>
        <w:t xml:space="preserve">, и </w:t>
      </w:r>
      <w:proofErr w:type="spellStart"/>
      <w:r w:rsidRPr="0030059E">
        <w:rPr>
          <w:sz w:val="28"/>
          <w:szCs w:val="28"/>
        </w:rPr>
        <w:t>холестеролоксидазой</w:t>
      </w:r>
      <w:proofErr w:type="spellEnd"/>
      <w:r w:rsidRPr="0030059E">
        <w:rPr>
          <w:sz w:val="28"/>
          <w:szCs w:val="28"/>
        </w:rPr>
        <w:t xml:space="preserve">, которая превращает образующийся при гидролизе ХС в </w:t>
      </w:r>
      <w:proofErr w:type="spellStart"/>
      <w:r w:rsidRPr="0030059E">
        <w:rPr>
          <w:sz w:val="28"/>
          <w:szCs w:val="28"/>
        </w:rPr>
        <w:t>холестенон</w:t>
      </w:r>
      <w:proofErr w:type="spellEnd"/>
      <w:r w:rsidRPr="0030059E">
        <w:rPr>
          <w:sz w:val="28"/>
          <w:szCs w:val="28"/>
        </w:rPr>
        <w:t xml:space="preserve"> с образованием </w:t>
      </w:r>
      <w:proofErr w:type="spellStart"/>
      <w:r w:rsidRPr="0030059E">
        <w:rPr>
          <w:sz w:val="28"/>
          <w:szCs w:val="28"/>
        </w:rPr>
        <w:t>эквимолярного</w:t>
      </w:r>
      <w:proofErr w:type="spellEnd"/>
      <w:r w:rsidRPr="0030059E">
        <w:rPr>
          <w:sz w:val="28"/>
          <w:szCs w:val="28"/>
        </w:rPr>
        <w:t xml:space="preserve"> количества Н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>О</w:t>
      </w:r>
      <w:r w:rsidRPr="0030059E">
        <w:rPr>
          <w:sz w:val="28"/>
          <w:szCs w:val="28"/>
          <w:vertAlign w:val="subscript"/>
        </w:rPr>
        <w:t>2</w:t>
      </w:r>
      <w:r w:rsidRPr="0030059E">
        <w:rPr>
          <w:sz w:val="28"/>
          <w:szCs w:val="28"/>
        </w:rPr>
        <w:t xml:space="preserve">. Перекись водорода под влиянием </w:t>
      </w:r>
      <w:proofErr w:type="spellStart"/>
      <w:r w:rsidRPr="0030059E">
        <w:rPr>
          <w:sz w:val="28"/>
          <w:szCs w:val="28"/>
        </w:rPr>
        <w:t>пероксидазы</w:t>
      </w:r>
      <w:proofErr w:type="spellEnd"/>
      <w:r w:rsidRPr="0030059E">
        <w:rPr>
          <w:sz w:val="28"/>
          <w:szCs w:val="28"/>
        </w:rPr>
        <w:t xml:space="preserve"> окисляет 4-аминоантипирин с образованием продуктов розово-малинового цвета.</w:t>
      </w:r>
    </w:p>
    <w:p w14:paraId="477D443B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Ход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277"/>
        <w:gridCol w:w="2348"/>
        <w:gridCol w:w="2353"/>
      </w:tblGrid>
      <w:tr w:rsidR="004C23C0" w:rsidRPr="0030059E" w14:paraId="70BB3560" w14:textId="77777777" w:rsidTr="00034AB3">
        <w:tc>
          <w:tcPr>
            <w:tcW w:w="2533" w:type="dxa"/>
          </w:tcPr>
          <w:p w14:paraId="2BAF5EAE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Реагенты (мл)</w:t>
            </w:r>
          </w:p>
        </w:tc>
        <w:tc>
          <w:tcPr>
            <w:tcW w:w="2534" w:type="dxa"/>
          </w:tcPr>
          <w:p w14:paraId="01D00B7C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Опыт</w:t>
            </w:r>
          </w:p>
        </w:tc>
        <w:tc>
          <w:tcPr>
            <w:tcW w:w="2535" w:type="dxa"/>
          </w:tcPr>
          <w:p w14:paraId="25555875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Стандарт</w:t>
            </w:r>
          </w:p>
        </w:tc>
        <w:tc>
          <w:tcPr>
            <w:tcW w:w="2535" w:type="dxa"/>
          </w:tcPr>
          <w:p w14:paraId="562F5420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Контроль</w:t>
            </w:r>
          </w:p>
        </w:tc>
      </w:tr>
      <w:tr w:rsidR="004C23C0" w:rsidRPr="0030059E" w14:paraId="0DC69A81" w14:textId="77777777" w:rsidTr="00034AB3">
        <w:tc>
          <w:tcPr>
            <w:tcW w:w="2533" w:type="dxa"/>
          </w:tcPr>
          <w:p w14:paraId="58FB9757" w14:textId="77777777" w:rsidR="004C23C0" w:rsidRPr="0030059E" w:rsidRDefault="004C23C0" w:rsidP="00034AB3">
            <w:pPr>
              <w:pStyle w:val="BodyText21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 xml:space="preserve">1. </w:t>
            </w:r>
            <w:proofErr w:type="spellStart"/>
            <w:r w:rsidRPr="0030059E">
              <w:rPr>
                <w:sz w:val="28"/>
                <w:szCs w:val="28"/>
              </w:rPr>
              <w:t>дистил</w:t>
            </w:r>
            <w:proofErr w:type="spellEnd"/>
            <w:r w:rsidRPr="0030059E">
              <w:rPr>
                <w:sz w:val="28"/>
                <w:szCs w:val="28"/>
              </w:rPr>
              <w:t>. Н</w:t>
            </w:r>
            <w:r w:rsidRPr="0030059E">
              <w:rPr>
                <w:sz w:val="28"/>
                <w:szCs w:val="28"/>
                <w:vertAlign w:val="subscript"/>
              </w:rPr>
              <w:t>2</w:t>
            </w:r>
            <w:r w:rsidRPr="0030059E">
              <w:rPr>
                <w:sz w:val="28"/>
                <w:szCs w:val="28"/>
              </w:rPr>
              <w:t>О</w:t>
            </w:r>
          </w:p>
        </w:tc>
        <w:tc>
          <w:tcPr>
            <w:tcW w:w="2534" w:type="dxa"/>
          </w:tcPr>
          <w:p w14:paraId="46E9BAFF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14:paraId="0FB7B30A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14:paraId="155C376A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0,02</w:t>
            </w:r>
          </w:p>
        </w:tc>
      </w:tr>
      <w:tr w:rsidR="004C23C0" w:rsidRPr="0030059E" w14:paraId="62AC6F6B" w14:textId="77777777" w:rsidTr="00034AB3">
        <w:tc>
          <w:tcPr>
            <w:tcW w:w="2533" w:type="dxa"/>
          </w:tcPr>
          <w:p w14:paraId="1721F4CC" w14:textId="77777777" w:rsidR="004C23C0" w:rsidRPr="0030059E" w:rsidRDefault="004C23C0" w:rsidP="00034AB3">
            <w:pPr>
              <w:pStyle w:val="BodyText21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2. сыворотка</w:t>
            </w:r>
          </w:p>
        </w:tc>
        <w:tc>
          <w:tcPr>
            <w:tcW w:w="2534" w:type="dxa"/>
          </w:tcPr>
          <w:p w14:paraId="0CB8F6DA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0,02</w:t>
            </w:r>
          </w:p>
        </w:tc>
        <w:tc>
          <w:tcPr>
            <w:tcW w:w="2535" w:type="dxa"/>
          </w:tcPr>
          <w:p w14:paraId="2EE2BA46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14:paraId="4B10E84B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</w:tr>
      <w:tr w:rsidR="004C23C0" w:rsidRPr="0030059E" w14:paraId="2ACD1DFA" w14:textId="77777777" w:rsidTr="00034AB3">
        <w:tc>
          <w:tcPr>
            <w:tcW w:w="2533" w:type="dxa"/>
          </w:tcPr>
          <w:p w14:paraId="0C3B4479" w14:textId="77777777" w:rsidR="004C23C0" w:rsidRPr="0030059E" w:rsidRDefault="004C23C0" w:rsidP="00034AB3">
            <w:pPr>
              <w:pStyle w:val="BodyText21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3. стандарт</w:t>
            </w:r>
          </w:p>
        </w:tc>
        <w:tc>
          <w:tcPr>
            <w:tcW w:w="2534" w:type="dxa"/>
          </w:tcPr>
          <w:p w14:paraId="58BE9F50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14:paraId="23F2933C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0,02</w:t>
            </w:r>
          </w:p>
        </w:tc>
        <w:tc>
          <w:tcPr>
            <w:tcW w:w="2535" w:type="dxa"/>
          </w:tcPr>
          <w:p w14:paraId="2C07301A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-</w:t>
            </w:r>
          </w:p>
        </w:tc>
      </w:tr>
      <w:tr w:rsidR="004C23C0" w:rsidRPr="0030059E" w14:paraId="0461F834" w14:textId="77777777" w:rsidTr="00034AB3">
        <w:tc>
          <w:tcPr>
            <w:tcW w:w="2533" w:type="dxa"/>
          </w:tcPr>
          <w:p w14:paraId="1A03D311" w14:textId="77777777" w:rsidR="004C23C0" w:rsidRPr="0030059E" w:rsidRDefault="004C23C0" w:rsidP="00034AB3">
            <w:pPr>
              <w:pStyle w:val="BodyText21"/>
              <w:jc w:val="both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4. рабочий реактив</w:t>
            </w:r>
          </w:p>
        </w:tc>
        <w:tc>
          <w:tcPr>
            <w:tcW w:w="2534" w:type="dxa"/>
          </w:tcPr>
          <w:p w14:paraId="1FC50573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</w:tc>
        <w:tc>
          <w:tcPr>
            <w:tcW w:w="2535" w:type="dxa"/>
          </w:tcPr>
          <w:p w14:paraId="646ED12F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</w:tc>
        <w:tc>
          <w:tcPr>
            <w:tcW w:w="2535" w:type="dxa"/>
          </w:tcPr>
          <w:p w14:paraId="0A5BF210" w14:textId="77777777" w:rsidR="004C23C0" w:rsidRPr="0030059E" w:rsidRDefault="004C23C0" w:rsidP="00034AB3">
            <w:pPr>
              <w:pStyle w:val="BodyText21"/>
              <w:rPr>
                <w:sz w:val="28"/>
                <w:szCs w:val="28"/>
              </w:rPr>
            </w:pPr>
            <w:r w:rsidRPr="0030059E">
              <w:rPr>
                <w:sz w:val="28"/>
                <w:szCs w:val="28"/>
              </w:rPr>
              <w:t>2,0</w:t>
            </w:r>
          </w:p>
        </w:tc>
      </w:tr>
    </w:tbl>
    <w:p w14:paraId="3D7B92B2" w14:textId="77777777" w:rsidR="004C23C0" w:rsidRPr="0030059E" w:rsidRDefault="004C23C0" w:rsidP="004C23C0">
      <w:pPr>
        <w:pStyle w:val="BodyText21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Инкубируют 10 минут при 10-20</w:t>
      </w:r>
      <w:r w:rsidRPr="0030059E">
        <w:rPr>
          <w:sz w:val="28"/>
          <w:szCs w:val="28"/>
          <w:vertAlign w:val="superscript"/>
        </w:rPr>
        <w:t>0</w:t>
      </w:r>
      <w:r w:rsidRPr="0030059E">
        <w:rPr>
          <w:sz w:val="28"/>
          <w:szCs w:val="28"/>
        </w:rPr>
        <w:t>С, измеряют оптическую плотность опыта и стандарта против контроля при 560-590 нм (зеленый светофильтр).</w:t>
      </w:r>
    </w:p>
    <w:p w14:paraId="48B78C28" w14:textId="77777777" w:rsidR="004C23C0" w:rsidRPr="0030059E" w:rsidRDefault="004C23C0" w:rsidP="004C23C0">
      <w:pPr>
        <w:pStyle w:val="BodyText21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Расчет: </w:t>
      </w:r>
      <w:r w:rsidRPr="0030059E">
        <w:rPr>
          <w:sz w:val="28"/>
          <w:szCs w:val="28"/>
        </w:rPr>
        <w:t xml:space="preserve">концентрация ХС (ммоль/л) в </w:t>
      </w:r>
      <w:proofErr w:type="spellStart"/>
      <w:r w:rsidRPr="0030059E">
        <w:rPr>
          <w:sz w:val="28"/>
          <w:szCs w:val="28"/>
        </w:rPr>
        <w:t>сывортке</w:t>
      </w:r>
      <w:proofErr w:type="spellEnd"/>
      <w:r w:rsidRPr="0030059E">
        <w:rPr>
          <w:sz w:val="28"/>
          <w:szCs w:val="28"/>
        </w:rPr>
        <w:t xml:space="preserve"> крови =  </w:t>
      </w:r>
      <w:r w:rsidRPr="0030059E">
        <w:rPr>
          <w:position w:val="-30"/>
          <w:sz w:val="28"/>
          <w:szCs w:val="28"/>
        </w:rPr>
        <w:object w:dxaOrig="800" w:dyaOrig="700" w14:anchorId="457F6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5.25pt" o:ole="">
            <v:imagedata r:id="rId5" o:title=""/>
          </v:shape>
          <o:OLEObject Type="Embed" ProgID="Equation.3" ShapeID="_x0000_i1025" DrawAspect="Content" ObjectID="_1760892229" r:id="rId6"/>
        </w:object>
      </w:r>
      <w:r w:rsidRPr="0030059E">
        <w:rPr>
          <w:sz w:val="28"/>
          <w:szCs w:val="28"/>
        </w:rPr>
        <w:t xml:space="preserve">, </w:t>
      </w:r>
    </w:p>
    <w:p w14:paraId="4488BE09" w14:textId="77777777" w:rsidR="004C23C0" w:rsidRPr="0030059E" w:rsidRDefault="004C23C0" w:rsidP="004C23C0">
      <w:pPr>
        <w:pStyle w:val="BodyText21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где С </w:t>
      </w:r>
      <w:proofErr w:type="spellStart"/>
      <w:r w:rsidRPr="0030059E">
        <w:rPr>
          <w:sz w:val="28"/>
          <w:szCs w:val="28"/>
          <w:vertAlign w:val="subscript"/>
        </w:rPr>
        <w:t>ст</w:t>
      </w:r>
      <w:proofErr w:type="spellEnd"/>
      <w:r w:rsidRPr="0030059E">
        <w:rPr>
          <w:sz w:val="28"/>
          <w:szCs w:val="28"/>
        </w:rPr>
        <w:t xml:space="preserve"> равна 5,17 ммоль/л</w:t>
      </w:r>
    </w:p>
    <w:p w14:paraId="4CEF4180" w14:textId="77777777" w:rsidR="004C23C0" w:rsidRPr="0030059E" w:rsidRDefault="004C23C0" w:rsidP="004C23C0">
      <w:pPr>
        <w:pStyle w:val="BodyText21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 норме содержание ХС в сыворотке крови составляет 5,2 </w:t>
      </w:r>
      <w:r w:rsidRPr="0030059E">
        <w:rPr>
          <w:sz w:val="28"/>
          <w:szCs w:val="28"/>
        </w:rPr>
        <w:sym w:font="Symbol" w:char="F0B1"/>
      </w:r>
      <w:r w:rsidRPr="0030059E">
        <w:rPr>
          <w:sz w:val="28"/>
          <w:szCs w:val="28"/>
        </w:rPr>
        <w:t xml:space="preserve"> 1,3 ммоль/л.</w:t>
      </w:r>
    </w:p>
    <w:p w14:paraId="11B0AA5D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Результат:</w:t>
      </w:r>
    </w:p>
    <w:p w14:paraId="4184639D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</w:p>
    <w:p w14:paraId="0EEE4FDC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Вывод:</w:t>
      </w:r>
    </w:p>
    <w:p w14:paraId="677A6BE2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</w:p>
    <w:p w14:paraId="5E89A972" w14:textId="77777777" w:rsidR="004C23C0" w:rsidRPr="0030059E" w:rsidRDefault="004C23C0" w:rsidP="004C23C0">
      <w:pPr>
        <w:pStyle w:val="BodyText21"/>
        <w:jc w:val="both"/>
        <w:rPr>
          <w:sz w:val="28"/>
          <w:szCs w:val="28"/>
          <w:u w:val="single"/>
        </w:rPr>
      </w:pPr>
    </w:p>
    <w:p w14:paraId="62366D47" w14:textId="77777777" w:rsidR="004C23C0" w:rsidRPr="0030059E" w:rsidRDefault="004C23C0" w:rsidP="004C23C0">
      <w:pPr>
        <w:pStyle w:val="BodyText21"/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>Клинико-диагностическое значение:</w:t>
      </w:r>
      <w:r w:rsidRPr="0030059E">
        <w:rPr>
          <w:sz w:val="28"/>
          <w:szCs w:val="28"/>
        </w:rPr>
        <w:t xml:space="preserve"> повышение концентрации ХС в крови (</w:t>
      </w:r>
      <w:proofErr w:type="spellStart"/>
      <w:r w:rsidRPr="0030059E">
        <w:rPr>
          <w:sz w:val="28"/>
          <w:szCs w:val="28"/>
        </w:rPr>
        <w:t>гиперхолестеролемия</w:t>
      </w:r>
      <w:proofErr w:type="spellEnd"/>
      <w:r w:rsidRPr="0030059E">
        <w:rPr>
          <w:sz w:val="28"/>
          <w:szCs w:val="28"/>
        </w:rPr>
        <w:t>) находят при атеросклерозе, гиперлипидемиях, подагре, некоторых заболеваниях печени и др. Снижение содержания ХС в крови (</w:t>
      </w:r>
      <w:proofErr w:type="spellStart"/>
      <w:r w:rsidRPr="0030059E">
        <w:rPr>
          <w:sz w:val="28"/>
          <w:szCs w:val="28"/>
        </w:rPr>
        <w:t>гипохолестеролемия</w:t>
      </w:r>
      <w:proofErr w:type="spellEnd"/>
      <w:r w:rsidRPr="0030059E">
        <w:rPr>
          <w:sz w:val="28"/>
          <w:szCs w:val="28"/>
        </w:rPr>
        <w:t>) наблюдается при циррозе печени, тиреотоксикозе, обширных ожогах и др.</w:t>
      </w:r>
    </w:p>
    <w:p w14:paraId="5D0B2817" w14:textId="77777777" w:rsidR="004C23C0" w:rsidRPr="0030059E" w:rsidRDefault="004C23C0" w:rsidP="004C23C0">
      <w:pPr>
        <w:pStyle w:val="BodyText21"/>
        <w:rPr>
          <w:b/>
          <w:sz w:val="28"/>
          <w:szCs w:val="28"/>
        </w:rPr>
      </w:pPr>
    </w:p>
    <w:p w14:paraId="100DD865" w14:textId="77777777" w:rsidR="004C23C0" w:rsidRPr="0030059E" w:rsidRDefault="004C23C0" w:rsidP="004C23C0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ВОПРОСЫ ДЛЯ САМОКОНТРОЛЯ</w:t>
      </w:r>
    </w:p>
    <w:p w14:paraId="7E334C97" w14:textId="77777777" w:rsidR="004C23C0" w:rsidRPr="0030059E" w:rsidRDefault="004C23C0" w:rsidP="004C23C0">
      <w:pPr>
        <w:jc w:val="both"/>
        <w:rPr>
          <w:sz w:val="28"/>
          <w:szCs w:val="28"/>
          <w:u w:val="single"/>
        </w:rPr>
      </w:pPr>
    </w:p>
    <w:p w14:paraId="110E3C03" w14:textId="77777777" w:rsidR="004C23C0" w:rsidRPr="0030059E" w:rsidRDefault="004C23C0" w:rsidP="004C23C0">
      <w:pPr>
        <w:pStyle w:val="BodyText21"/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У больного, страдающего острым гепатитом, обнаружено снижение в крови общего и, особенно, </w:t>
      </w:r>
      <w:proofErr w:type="spellStart"/>
      <w:r w:rsidRPr="0030059E">
        <w:rPr>
          <w:sz w:val="28"/>
          <w:szCs w:val="28"/>
        </w:rPr>
        <w:t>этерифицированного</w:t>
      </w:r>
      <w:proofErr w:type="spellEnd"/>
      <w:r w:rsidRPr="0030059E">
        <w:rPr>
          <w:sz w:val="28"/>
          <w:szCs w:val="28"/>
        </w:rPr>
        <w:t xml:space="preserve"> </w:t>
      </w:r>
      <w:proofErr w:type="spellStart"/>
      <w:r w:rsidRPr="0030059E">
        <w:rPr>
          <w:sz w:val="28"/>
          <w:szCs w:val="28"/>
        </w:rPr>
        <w:t>холестерола</w:t>
      </w:r>
      <w:proofErr w:type="spellEnd"/>
      <w:r w:rsidRPr="0030059E">
        <w:rPr>
          <w:sz w:val="28"/>
          <w:szCs w:val="28"/>
        </w:rPr>
        <w:t>. Объясните молекулярные механизмы этого состояния. Какие ещё нарушения обмена липидов возможны у таких больных?</w:t>
      </w:r>
    </w:p>
    <w:p w14:paraId="6A20FC01" w14:textId="77777777" w:rsidR="004C23C0" w:rsidRPr="0030059E" w:rsidRDefault="004C23C0" w:rsidP="004C23C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059E">
        <w:rPr>
          <w:rFonts w:ascii="Times New Roman" w:hAnsi="Times New Roman"/>
          <w:sz w:val="28"/>
          <w:szCs w:val="28"/>
        </w:rPr>
        <w:t xml:space="preserve">Молекула </w:t>
      </w:r>
      <w:proofErr w:type="spellStart"/>
      <w:r w:rsidRPr="0030059E">
        <w:rPr>
          <w:rFonts w:ascii="Times New Roman" w:hAnsi="Times New Roman"/>
          <w:sz w:val="28"/>
          <w:szCs w:val="28"/>
        </w:rPr>
        <w:t>фосфотидилхолина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, находится в составе частицы липопротеина высокой плотности (ЛПВП). Под действием фермента лецитин: </w:t>
      </w:r>
      <w:proofErr w:type="spellStart"/>
      <w:r w:rsidRPr="0030059E">
        <w:rPr>
          <w:rFonts w:ascii="Times New Roman" w:hAnsi="Times New Roman"/>
          <w:sz w:val="28"/>
          <w:szCs w:val="28"/>
        </w:rPr>
        <w:t>холестеринацилтрансферазы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 (ЛХАТ) остаток линоленовой кислоты переносится из молекулы фосфолипида на </w:t>
      </w:r>
      <w:proofErr w:type="spellStart"/>
      <w:r w:rsidRPr="0030059E">
        <w:rPr>
          <w:rFonts w:ascii="Times New Roman" w:hAnsi="Times New Roman"/>
          <w:sz w:val="28"/>
          <w:szCs w:val="28"/>
        </w:rPr>
        <w:t>гидроксигруппу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 холестерина, а фосфолипид превращается в </w:t>
      </w:r>
      <w:proofErr w:type="spellStart"/>
      <w:r w:rsidRPr="0030059E">
        <w:rPr>
          <w:rFonts w:ascii="Times New Roman" w:hAnsi="Times New Roman"/>
          <w:sz w:val="28"/>
          <w:szCs w:val="28"/>
        </w:rPr>
        <w:t>лизолецитин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. Напишите структурные формулы холестерина, его эфира </w:t>
      </w:r>
      <w:proofErr w:type="spellStart"/>
      <w:r w:rsidRPr="0030059E">
        <w:rPr>
          <w:rFonts w:ascii="Times New Roman" w:hAnsi="Times New Roman"/>
          <w:sz w:val="28"/>
          <w:szCs w:val="28"/>
        </w:rPr>
        <w:t>холестеринлиноленоата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 и образовавшегося </w:t>
      </w:r>
      <w:proofErr w:type="spellStart"/>
      <w:r w:rsidRPr="0030059E">
        <w:rPr>
          <w:rFonts w:ascii="Times New Roman" w:hAnsi="Times New Roman"/>
          <w:sz w:val="28"/>
          <w:szCs w:val="28"/>
        </w:rPr>
        <w:t>лизолецитина</w:t>
      </w:r>
      <w:proofErr w:type="spellEnd"/>
      <w:r w:rsidRPr="0030059E">
        <w:rPr>
          <w:rFonts w:ascii="Times New Roman" w:hAnsi="Times New Roman"/>
          <w:sz w:val="28"/>
          <w:szCs w:val="28"/>
        </w:rPr>
        <w:t xml:space="preserve">. Как изменится растворимость этих </w:t>
      </w:r>
      <w:r w:rsidRPr="0030059E">
        <w:rPr>
          <w:rFonts w:ascii="Times New Roman" w:hAnsi="Times New Roman"/>
          <w:sz w:val="28"/>
          <w:szCs w:val="28"/>
        </w:rPr>
        <w:lastRenderedPageBreak/>
        <w:t>липидов в воде в результате реакции? Изменится ли положение указанных молекул в составе частицы ЛПВП?</w:t>
      </w:r>
    </w:p>
    <w:p w14:paraId="45D4749E" w14:textId="77777777" w:rsidR="004C23C0" w:rsidRDefault="004C23C0"/>
    <w:sectPr w:rsidR="004C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41B2"/>
    <w:multiLevelType w:val="hybridMultilevel"/>
    <w:tmpl w:val="19D8E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AC7897"/>
    <w:multiLevelType w:val="hybridMultilevel"/>
    <w:tmpl w:val="25EC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4DDB"/>
    <w:multiLevelType w:val="hybridMultilevel"/>
    <w:tmpl w:val="405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6ECD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88664">
    <w:abstractNumId w:val="1"/>
  </w:num>
  <w:num w:numId="2" w16cid:durableId="1430856063">
    <w:abstractNumId w:val="0"/>
  </w:num>
  <w:num w:numId="3" w16cid:durableId="896472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C0"/>
    <w:rsid w:val="004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9FC1"/>
  <w15:chartTrackingRefBased/>
  <w15:docId w15:val="{C3AAA6DE-F701-47A4-8A1D-D43FF40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4C23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3C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4C23C0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3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C23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4C23C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2023-11-07T14:56:00Z</dcterms:created>
  <dcterms:modified xsi:type="dcterms:W3CDTF">2023-11-07T14:57:00Z</dcterms:modified>
</cp:coreProperties>
</file>